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0D5C3" w14:textId="77777777" w:rsidR="00E737AE" w:rsidRPr="007175E2" w:rsidRDefault="00E737AE" w:rsidP="00112395">
      <w:pPr>
        <w:spacing w:after="0" w:line="240" w:lineRule="auto"/>
        <w:ind w:right="4"/>
        <w:rPr>
          <w:rFonts w:ascii="Cambria" w:hAnsi="Cambria"/>
        </w:rPr>
      </w:pPr>
    </w:p>
    <w:p w14:paraId="524EBAB9" w14:textId="77777777" w:rsidR="001541D4" w:rsidRPr="002D075B" w:rsidRDefault="001541D4" w:rsidP="003E6F57">
      <w:pPr>
        <w:spacing w:after="0" w:line="240" w:lineRule="auto"/>
        <w:ind w:right="4"/>
        <w:contextualSpacing/>
        <w:jc w:val="center"/>
        <w:rPr>
          <w:rFonts w:ascii="Cambria" w:eastAsia="Batang" w:hAnsi="Cambria"/>
          <w:b/>
          <w:color w:val="000000" w:themeColor="text1"/>
        </w:rPr>
      </w:pPr>
      <w:r w:rsidRPr="002D075B">
        <w:rPr>
          <w:rFonts w:ascii="Cambria" w:eastAsia="Batang" w:hAnsi="Cambria"/>
          <w:b/>
          <w:color w:val="000000" w:themeColor="text1"/>
        </w:rPr>
        <w:t>TECHNICAL INFORMATION SHEET</w:t>
      </w:r>
    </w:p>
    <w:p w14:paraId="315E1AEF" w14:textId="4C2799C9" w:rsidR="001541D4" w:rsidRPr="00624D92" w:rsidRDefault="001541D4" w:rsidP="003E6F57">
      <w:pPr>
        <w:spacing w:after="0" w:line="240" w:lineRule="auto"/>
        <w:ind w:right="4"/>
        <w:contextualSpacing/>
        <w:jc w:val="center"/>
        <w:rPr>
          <w:rFonts w:ascii="Cambria" w:eastAsia="Batang" w:hAnsi="Cambria"/>
          <w:b/>
          <w:color w:val="000000" w:themeColor="text1"/>
        </w:rPr>
      </w:pPr>
      <w:r w:rsidRPr="00624D92">
        <w:rPr>
          <w:rFonts w:ascii="Cambria" w:eastAsia="Batang" w:hAnsi="Cambria"/>
          <w:b/>
          <w:color w:val="000000" w:themeColor="text1"/>
        </w:rPr>
        <w:t xml:space="preserve">CASE </w:t>
      </w:r>
      <w:r w:rsidR="000C7449" w:rsidRPr="00624D92">
        <w:rPr>
          <w:rFonts w:ascii="Cambria" w:eastAsia="Batang" w:hAnsi="Cambria"/>
          <w:b/>
          <w:color w:val="000000" w:themeColor="text1"/>
        </w:rPr>
        <w:t>13.869 SILVIA MÓNICA SEVERINI</w:t>
      </w:r>
    </w:p>
    <w:p w14:paraId="023C007F" w14:textId="36C37D2F" w:rsidR="001541D4" w:rsidRPr="002D075B" w:rsidRDefault="001541D4" w:rsidP="003E6F57">
      <w:pPr>
        <w:spacing w:after="0" w:line="240" w:lineRule="auto"/>
        <w:ind w:right="4"/>
        <w:contextualSpacing/>
        <w:jc w:val="center"/>
        <w:rPr>
          <w:rFonts w:ascii="Cambria" w:eastAsia="Batang" w:hAnsi="Cambria"/>
          <w:b/>
          <w:color w:val="000000" w:themeColor="text1"/>
        </w:rPr>
      </w:pPr>
      <w:r w:rsidRPr="00624D92">
        <w:rPr>
          <w:rFonts w:ascii="Cambria" w:eastAsia="Batang" w:hAnsi="Cambria"/>
          <w:b/>
          <w:color w:val="000000" w:themeColor="text1"/>
        </w:rPr>
        <w:t>FRIENDLY SETTLEMENT REPORT No.</w:t>
      </w:r>
      <w:r w:rsidR="00D735C2" w:rsidRPr="00624D92">
        <w:rPr>
          <w:rFonts w:ascii="Cambria" w:eastAsia="Batang" w:hAnsi="Cambria"/>
          <w:b/>
          <w:color w:val="000000" w:themeColor="text1"/>
        </w:rPr>
        <w:t xml:space="preserve"> </w:t>
      </w:r>
      <w:hyperlink r:id="rId12" w:history="1">
        <w:r w:rsidR="000C7449" w:rsidRPr="00624D92">
          <w:rPr>
            <w:rStyle w:val="Hyperlink"/>
            <w:rFonts w:ascii="Cambria" w:eastAsia="Batang" w:hAnsi="Cambria"/>
            <w:b/>
          </w:rPr>
          <w:t>349/22</w:t>
        </w:r>
      </w:hyperlink>
      <w:r w:rsidR="000C7449" w:rsidRPr="002D075B">
        <w:rPr>
          <w:rFonts w:ascii="Cambria" w:eastAsia="Batang" w:hAnsi="Cambria"/>
          <w:b/>
          <w:color w:val="000000" w:themeColor="text1"/>
        </w:rPr>
        <w:t xml:space="preserve"> </w:t>
      </w:r>
    </w:p>
    <w:p w14:paraId="52EBA80E" w14:textId="77777777" w:rsidR="001541D4" w:rsidRPr="002D075B" w:rsidRDefault="001541D4" w:rsidP="003E6F57">
      <w:pPr>
        <w:spacing w:after="0" w:line="240" w:lineRule="auto"/>
        <w:ind w:right="4"/>
        <w:contextualSpacing/>
        <w:jc w:val="center"/>
        <w:rPr>
          <w:rFonts w:ascii="Cambria" w:eastAsia="Batang" w:hAnsi="Cambria"/>
          <w:b/>
          <w:color w:val="000000" w:themeColor="text1"/>
        </w:rPr>
      </w:pPr>
      <w:r w:rsidRPr="002D075B">
        <w:rPr>
          <w:rFonts w:ascii="Cambria" w:eastAsia="Batang" w:hAnsi="Cambria"/>
          <w:b/>
          <w:color w:val="000000" w:themeColor="text1"/>
        </w:rPr>
        <w:t>TOTAL COMPLIANCE</w:t>
      </w:r>
    </w:p>
    <w:p w14:paraId="359B0977" w14:textId="037D4AE9" w:rsidR="001541D4" w:rsidRPr="007175E2" w:rsidRDefault="001541D4" w:rsidP="003E6F57">
      <w:pPr>
        <w:spacing w:after="0" w:line="240" w:lineRule="auto"/>
        <w:ind w:right="4"/>
        <w:contextualSpacing/>
        <w:jc w:val="center"/>
        <w:rPr>
          <w:rFonts w:ascii="Cambria" w:eastAsia="Batang" w:hAnsi="Cambria"/>
          <w:b/>
          <w:color w:val="000000" w:themeColor="text1"/>
        </w:rPr>
      </w:pPr>
      <w:r w:rsidRPr="00624D92">
        <w:rPr>
          <w:rFonts w:ascii="Cambria" w:eastAsia="Batang" w:hAnsi="Cambria"/>
          <w:b/>
          <w:color w:val="000000" w:themeColor="text1"/>
        </w:rPr>
        <w:t>(</w:t>
      </w:r>
      <w:r w:rsidR="000C7449" w:rsidRPr="00624D92">
        <w:rPr>
          <w:rFonts w:ascii="Cambria" w:eastAsia="Batang" w:hAnsi="Cambria"/>
          <w:b/>
          <w:color w:val="000000" w:themeColor="text1"/>
        </w:rPr>
        <w:t>ARGENTINA</w:t>
      </w:r>
      <w:r w:rsidRPr="00624D92">
        <w:rPr>
          <w:rFonts w:ascii="Cambria" w:eastAsia="Batang" w:hAnsi="Cambria"/>
          <w:b/>
          <w:color w:val="000000" w:themeColor="text1"/>
        </w:rPr>
        <w:t>)</w:t>
      </w:r>
    </w:p>
    <w:p w14:paraId="17C6E5B0" w14:textId="77777777" w:rsidR="001541D4" w:rsidRPr="007175E2" w:rsidRDefault="001541D4" w:rsidP="001541D4">
      <w:pPr>
        <w:spacing w:after="0" w:line="240" w:lineRule="auto"/>
        <w:ind w:right="-270"/>
        <w:jc w:val="center"/>
        <w:rPr>
          <w:rFonts w:ascii="Cambria" w:eastAsia="Batang" w:hAnsi="Cambria"/>
          <w:b/>
          <w:color w:val="000000"/>
        </w:rPr>
      </w:pPr>
    </w:p>
    <w:p w14:paraId="4466410B" w14:textId="77777777" w:rsidR="001541D4" w:rsidRPr="007175E2" w:rsidRDefault="001541D4" w:rsidP="00637AFB">
      <w:pPr>
        <w:numPr>
          <w:ilvl w:val="0"/>
          <w:numId w:val="37"/>
        </w:numPr>
        <w:spacing w:after="0" w:line="240" w:lineRule="auto"/>
        <w:ind w:left="0" w:firstLine="709"/>
        <w:rPr>
          <w:rFonts w:ascii="Cambria" w:eastAsia="Batang" w:hAnsi="Cambria" w:cs="Calibri Light"/>
          <w:b/>
          <w:color w:val="000000"/>
        </w:rPr>
      </w:pPr>
      <w:r w:rsidRPr="007175E2">
        <w:rPr>
          <w:rFonts w:ascii="Cambria" w:eastAsia="Batang" w:hAnsi="Cambria" w:cs="Calibri Light"/>
          <w:b/>
          <w:color w:val="000000"/>
        </w:rPr>
        <w:t>SUMMARY OF THE CASE</w:t>
      </w:r>
    </w:p>
    <w:p w14:paraId="21DA0E00" w14:textId="77777777" w:rsidR="001541D4" w:rsidRPr="007175E2" w:rsidRDefault="001541D4" w:rsidP="001541D4">
      <w:pPr>
        <w:spacing w:after="0" w:line="240" w:lineRule="auto"/>
        <w:rPr>
          <w:rFonts w:ascii="Cambria" w:eastAsia="Batang" w:hAnsi="Cambria" w:cs="Calibri Light"/>
          <w:b/>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0"/>
      </w:tblGrid>
      <w:tr w:rsidR="001541D4" w:rsidRPr="007175E2" w14:paraId="58669F97" w14:textId="77777777" w:rsidTr="003E6F57">
        <w:trPr>
          <w:trHeight w:val="5967"/>
          <w:jc w:val="center"/>
        </w:trPr>
        <w:tc>
          <w:tcPr>
            <w:tcW w:w="9350" w:type="dxa"/>
            <w:shd w:val="clear" w:color="auto" w:fill="F2F2F2"/>
          </w:tcPr>
          <w:p w14:paraId="468E3947" w14:textId="77777777" w:rsidR="00B338C9" w:rsidRPr="00624D92" w:rsidRDefault="00B338C9" w:rsidP="00E22135">
            <w:pPr>
              <w:spacing w:after="0" w:line="240" w:lineRule="auto"/>
              <w:ind w:left="34" w:hanging="31"/>
              <w:jc w:val="both"/>
              <w:rPr>
                <w:rFonts w:ascii="Cambria" w:hAnsi="Cambria"/>
                <w:sz w:val="20"/>
                <w:szCs w:val="20"/>
                <w:lang w:val="es-AR"/>
              </w:rPr>
            </w:pPr>
            <w:r w:rsidRPr="00624D92">
              <w:rPr>
                <w:rFonts w:ascii="Cambria" w:hAnsi="Cambria"/>
                <w:b/>
                <w:sz w:val="20"/>
                <w:szCs w:val="20"/>
                <w:lang w:val="es-AR"/>
              </w:rPr>
              <w:t>Victim(s):</w:t>
            </w:r>
            <w:r w:rsidRPr="00624D92">
              <w:rPr>
                <w:rFonts w:ascii="Cambria" w:hAnsi="Cambria"/>
                <w:sz w:val="20"/>
                <w:szCs w:val="20"/>
                <w:lang w:val="es-AR"/>
              </w:rPr>
              <w:t xml:space="preserve"> Silvia Mónica Severini</w:t>
            </w:r>
          </w:p>
          <w:p w14:paraId="593840F1" w14:textId="77777777" w:rsidR="00B338C9" w:rsidRPr="00624D92" w:rsidRDefault="00B338C9" w:rsidP="00E22135">
            <w:pPr>
              <w:spacing w:after="0" w:line="240" w:lineRule="auto"/>
              <w:ind w:left="34" w:hanging="31"/>
              <w:jc w:val="both"/>
              <w:rPr>
                <w:rFonts w:ascii="Cambria" w:hAnsi="Cambria"/>
                <w:sz w:val="20"/>
                <w:szCs w:val="20"/>
                <w:lang w:val="es-419"/>
              </w:rPr>
            </w:pPr>
            <w:r w:rsidRPr="00624D92">
              <w:rPr>
                <w:rFonts w:ascii="Cambria" w:hAnsi="Cambria"/>
                <w:b/>
                <w:sz w:val="20"/>
                <w:szCs w:val="20"/>
                <w:lang w:val="es-419"/>
              </w:rPr>
              <w:t xml:space="preserve">Petitioner(s): </w:t>
            </w:r>
            <w:r w:rsidRPr="00624D92">
              <w:rPr>
                <w:rFonts w:ascii="Cambria" w:hAnsi="Cambria"/>
                <w:color w:val="000000"/>
                <w:sz w:val="20"/>
                <w:szCs w:val="20"/>
                <w:lang w:val="es-419"/>
              </w:rPr>
              <w:t>Elena Carmen Moreno y Myriam Carsen</w:t>
            </w:r>
          </w:p>
          <w:p w14:paraId="5E2049D2" w14:textId="77777777" w:rsidR="00B338C9" w:rsidRPr="00624D92" w:rsidRDefault="00B338C9" w:rsidP="00E22135">
            <w:pPr>
              <w:spacing w:after="0" w:line="240" w:lineRule="auto"/>
              <w:ind w:left="34" w:hanging="31"/>
              <w:jc w:val="both"/>
              <w:rPr>
                <w:rFonts w:ascii="Cambria" w:hAnsi="Cambria"/>
                <w:sz w:val="20"/>
                <w:szCs w:val="20"/>
              </w:rPr>
            </w:pPr>
            <w:r w:rsidRPr="00624D92">
              <w:rPr>
                <w:rFonts w:ascii="Cambria" w:hAnsi="Cambria"/>
                <w:b/>
                <w:sz w:val="20"/>
                <w:szCs w:val="20"/>
              </w:rPr>
              <w:t>State</w:t>
            </w:r>
            <w:r w:rsidRPr="00624D92">
              <w:rPr>
                <w:rFonts w:ascii="Cambria" w:hAnsi="Cambria"/>
                <w:sz w:val="20"/>
                <w:szCs w:val="20"/>
              </w:rPr>
              <w:t xml:space="preserve"> Argentina</w:t>
            </w:r>
          </w:p>
          <w:p w14:paraId="17BCE930" w14:textId="77777777" w:rsidR="00B338C9" w:rsidRPr="00624D92" w:rsidRDefault="00B338C9" w:rsidP="00E22135">
            <w:pPr>
              <w:spacing w:after="0" w:line="240" w:lineRule="auto"/>
              <w:ind w:left="34" w:hanging="31"/>
              <w:jc w:val="both"/>
              <w:rPr>
                <w:rFonts w:ascii="Cambria" w:hAnsi="Cambria"/>
                <w:sz w:val="20"/>
                <w:szCs w:val="20"/>
              </w:rPr>
            </w:pPr>
            <w:r w:rsidRPr="00624D92">
              <w:rPr>
                <w:rFonts w:ascii="Cambria" w:hAnsi="Cambria"/>
                <w:b/>
                <w:color w:val="000000"/>
                <w:sz w:val="20"/>
                <w:szCs w:val="20"/>
              </w:rPr>
              <w:t xml:space="preserve">Date of start of negotiations:  </w:t>
            </w:r>
            <w:r w:rsidRPr="00624D92">
              <w:rPr>
                <w:rFonts w:ascii="Cambria" w:hAnsi="Cambria"/>
                <w:color w:val="000000"/>
                <w:sz w:val="20"/>
                <w:szCs w:val="20"/>
              </w:rPr>
              <w:t>February 9, 2022</w:t>
            </w:r>
          </w:p>
          <w:p w14:paraId="454A9F7E" w14:textId="77777777" w:rsidR="00B338C9" w:rsidRPr="00624D92" w:rsidRDefault="00B338C9" w:rsidP="00E22135">
            <w:pPr>
              <w:spacing w:after="0" w:line="240" w:lineRule="auto"/>
              <w:ind w:left="34" w:hanging="31"/>
              <w:jc w:val="both"/>
              <w:rPr>
                <w:rFonts w:ascii="Cambria" w:hAnsi="Cambria"/>
                <w:sz w:val="20"/>
                <w:szCs w:val="20"/>
              </w:rPr>
            </w:pPr>
            <w:r w:rsidRPr="00624D92">
              <w:rPr>
                <w:rFonts w:ascii="Cambria" w:hAnsi="Cambria"/>
                <w:b/>
                <w:color w:val="000000"/>
                <w:sz w:val="20"/>
                <w:szCs w:val="20"/>
              </w:rPr>
              <w:t>Date of signature of FSA:</w:t>
            </w:r>
            <w:r w:rsidRPr="00624D92">
              <w:rPr>
                <w:rFonts w:ascii="Cambria" w:hAnsi="Cambria"/>
                <w:color w:val="000000"/>
                <w:sz w:val="20"/>
                <w:szCs w:val="20"/>
              </w:rPr>
              <w:t xml:space="preserve"> February 23, 2022</w:t>
            </w:r>
          </w:p>
          <w:p w14:paraId="5AD5826F" w14:textId="77777777" w:rsidR="00B338C9" w:rsidRPr="00624D92" w:rsidRDefault="00B338C9" w:rsidP="00E22135">
            <w:pPr>
              <w:spacing w:after="0" w:line="240" w:lineRule="auto"/>
              <w:ind w:left="34" w:right="90" w:hanging="31"/>
              <w:rPr>
                <w:rFonts w:ascii="Cambria" w:hAnsi="Cambria"/>
                <w:b/>
                <w:bCs/>
                <w:sz w:val="20"/>
                <w:szCs w:val="20"/>
              </w:rPr>
            </w:pPr>
            <w:r w:rsidRPr="00624D92">
              <w:rPr>
                <w:rFonts w:ascii="Cambria" w:hAnsi="Cambria"/>
                <w:b/>
                <w:sz w:val="20"/>
                <w:szCs w:val="20"/>
              </w:rPr>
              <w:t>Admissibility Report Nº:</w:t>
            </w:r>
            <w:r w:rsidRPr="00624D92">
              <w:rPr>
                <w:rFonts w:ascii="Cambria" w:hAnsi="Cambria"/>
                <w:sz w:val="20"/>
                <w:szCs w:val="20"/>
              </w:rPr>
              <w:t xml:space="preserve"> </w:t>
            </w:r>
            <w:hyperlink r:id="rId13" w:history="1">
              <w:r w:rsidRPr="00624D92">
                <w:rPr>
                  <w:rStyle w:val="Hyperlink"/>
                  <w:rFonts w:ascii="Cambria" w:hAnsi="Cambria"/>
                  <w:b/>
                  <w:bCs/>
                  <w:color w:val="auto"/>
                  <w:sz w:val="20"/>
                  <w:szCs w:val="20"/>
                </w:rPr>
                <w:t>192/19</w:t>
              </w:r>
            </w:hyperlink>
          </w:p>
          <w:p w14:paraId="4BF9B81C" w14:textId="1E0B0AF7" w:rsidR="00B338C9" w:rsidRPr="00624D92" w:rsidRDefault="00B338C9" w:rsidP="00E22135">
            <w:pPr>
              <w:spacing w:after="0" w:line="240" w:lineRule="auto"/>
              <w:ind w:left="34" w:right="270" w:hanging="31"/>
              <w:jc w:val="both"/>
              <w:rPr>
                <w:rFonts w:ascii="Cambria" w:hAnsi="Cambria"/>
                <w:sz w:val="20"/>
                <w:szCs w:val="20"/>
              </w:rPr>
            </w:pPr>
            <w:r w:rsidRPr="00624D92">
              <w:rPr>
                <w:rFonts w:ascii="Cambria" w:hAnsi="Cambria"/>
                <w:b/>
                <w:sz w:val="20"/>
                <w:szCs w:val="20"/>
              </w:rPr>
              <w:t>Friendly settlement agreement report No.:</w:t>
            </w:r>
            <w:r w:rsidRPr="00624D92">
              <w:rPr>
                <w:rFonts w:ascii="Cambria" w:hAnsi="Cambria"/>
                <w:sz w:val="20"/>
                <w:szCs w:val="20"/>
              </w:rPr>
              <w:t xml:space="preserve"> </w:t>
            </w:r>
            <w:hyperlink r:id="rId14" w:history="1">
              <w:r w:rsidRPr="00624D92">
                <w:rPr>
                  <w:rStyle w:val="Hyperlink"/>
                  <w:rFonts w:ascii="Cambria" w:hAnsi="Cambria"/>
                  <w:b/>
                  <w:bCs/>
                  <w:color w:val="auto"/>
                  <w:sz w:val="20"/>
                  <w:szCs w:val="20"/>
                </w:rPr>
                <w:t>349/22</w:t>
              </w:r>
            </w:hyperlink>
            <w:r w:rsidRPr="00624D92">
              <w:rPr>
                <w:rFonts w:ascii="Cambria" w:hAnsi="Cambria"/>
                <w:sz w:val="20"/>
                <w:szCs w:val="20"/>
              </w:rPr>
              <w:t xml:space="preserve"> published on December 11, 2022</w:t>
            </w:r>
          </w:p>
          <w:p w14:paraId="4618F791" w14:textId="77777777" w:rsidR="00B338C9" w:rsidRPr="00624D92" w:rsidRDefault="00B338C9" w:rsidP="00E22135">
            <w:pPr>
              <w:spacing w:after="0" w:line="240" w:lineRule="auto"/>
              <w:ind w:left="34" w:right="270" w:hanging="31"/>
              <w:jc w:val="both"/>
              <w:rPr>
                <w:rFonts w:ascii="Cambria" w:hAnsi="Cambria"/>
                <w:sz w:val="20"/>
                <w:szCs w:val="20"/>
              </w:rPr>
            </w:pPr>
            <w:r w:rsidRPr="00624D92">
              <w:rPr>
                <w:rFonts w:ascii="Cambria" w:hAnsi="Cambria"/>
                <w:b/>
                <w:color w:val="000000"/>
                <w:sz w:val="20"/>
                <w:szCs w:val="20"/>
              </w:rPr>
              <w:t>Estimated duration of the negotiation phase</w:t>
            </w:r>
            <w:r w:rsidRPr="00624D92">
              <w:rPr>
                <w:rFonts w:ascii="Cambria" w:hAnsi="Cambria"/>
                <w:b/>
                <w:sz w:val="20"/>
                <w:szCs w:val="20"/>
              </w:rPr>
              <w:t>:</w:t>
            </w:r>
            <w:r w:rsidRPr="00624D92">
              <w:rPr>
                <w:rFonts w:ascii="Cambria" w:hAnsi="Cambria"/>
                <w:sz w:val="20"/>
                <w:szCs w:val="20"/>
              </w:rPr>
              <w:t xml:space="preserve"> 14 days</w:t>
            </w:r>
          </w:p>
          <w:p w14:paraId="46DE5702" w14:textId="77777777" w:rsidR="00B338C9" w:rsidRPr="00624D92" w:rsidRDefault="00B338C9" w:rsidP="00E22135">
            <w:pPr>
              <w:spacing w:after="0" w:line="240" w:lineRule="auto"/>
              <w:ind w:left="34"/>
              <w:jc w:val="both"/>
              <w:rPr>
                <w:rFonts w:ascii="Cambria" w:hAnsi="Cambria"/>
                <w:sz w:val="20"/>
                <w:szCs w:val="20"/>
              </w:rPr>
            </w:pPr>
            <w:r w:rsidRPr="00624D92">
              <w:rPr>
                <w:rFonts w:ascii="Cambria" w:hAnsi="Cambria"/>
                <w:b/>
                <w:color w:val="000000"/>
                <w:sz w:val="20"/>
                <w:szCs w:val="20"/>
              </w:rPr>
              <w:t>Related Rapporteurship:</w:t>
            </w:r>
            <w:r w:rsidRPr="00624D92">
              <w:rPr>
                <w:rFonts w:ascii="Cambria" w:hAnsi="Cambria"/>
                <w:color w:val="000000"/>
                <w:sz w:val="20"/>
                <w:szCs w:val="20"/>
              </w:rPr>
              <w:t xml:space="preserve"> N/A</w:t>
            </w:r>
          </w:p>
          <w:p w14:paraId="5ABCBFB1" w14:textId="77777777" w:rsidR="00B338C9" w:rsidRPr="00624D92" w:rsidRDefault="00B338C9" w:rsidP="00E22135">
            <w:pPr>
              <w:spacing w:after="0" w:line="240" w:lineRule="auto"/>
              <w:ind w:left="34" w:right="270" w:hanging="31"/>
              <w:jc w:val="both"/>
              <w:rPr>
                <w:rFonts w:ascii="Cambria" w:hAnsi="Cambria"/>
                <w:sz w:val="20"/>
                <w:szCs w:val="20"/>
              </w:rPr>
            </w:pPr>
            <w:r w:rsidRPr="00624D92">
              <w:rPr>
                <w:rFonts w:ascii="Cambria" w:hAnsi="Cambria"/>
                <w:b/>
                <w:sz w:val="20"/>
                <w:szCs w:val="20"/>
              </w:rPr>
              <w:t>Topics:</w:t>
            </w:r>
            <w:r w:rsidRPr="00624D92">
              <w:rPr>
                <w:rFonts w:ascii="Cambria" w:hAnsi="Cambria"/>
                <w:sz w:val="20"/>
                <w:szCs w:val="20"/>
              </w:rPr>
              <w:t xml:space="preserve"> Judicial Guarantees / Equality before the Law/ Judicial Protection</w:t>
            </w:r>
          </w:p>
          <w:p w14:paraId="1612CC95" w14:textId="77777777" w:rsidR="00B338C9" w:rsidRPr="00624D92" w:rsidRDefault="00B338C9" w:rsidP="00E22135">
            <w:pPr>
              <w:spacing w:after="0" w:line="240" w:lineRule="auto"/>
              <w:ind w:left="34" w:right="270" w:hanging="31"/>
              <w:jc w:val="both"/>
              <w:rPr>
                <w:rFonts w:ascii="Cambria" w:hAnsi="Cambria"/>
                <w:sz w:val="20"/>
                <w:szCs w:val="20"/>
              </w:rPr>
            </w:pPr>
          </w:p>
          <w:p w14:paraId="6A3F3D74" w14:textId="77777777" w:rsidR="00B338C9" w:rsidRPr="00624D92" w:rsidRDefault="00B338C9" w:rsidP="00E22135">
            <w:pPr>
              <w:tabs>
                <w:tab w:val="left" w:pos="1440"/>
              </w:tabs>
              <w:spacing w:after="0" w:line="240" w:lineRule="auto"/>
              <w:ind w:left="34" w:hanging="31"/>
              <w:jc w:val="both"/>
              <w:rPr>
                <w:rFonts w:ascii="Cambria" w:eastAsia="Times New Roman" w:hAnsi="Cambria"/>
                <w:color w:val="000000" w:themeColor="text1"/>
                <w:sz w:val="20"/>
                <w:szCs w:val="20"/>
              </w:rPr>
            </w:pPr>
            <w:r w:rsidRPr="00624D92">
              <w:rPr>
                <w:rFonts w:ascii="Cambria" w:hAnsi="Cambria"/>
                <w:b/>
                <w:sz w:val="20"/>
                <w:szCs w:val="20"/>
              </w:rPr>
              <w:t>Facts:</w:t>
            </w:r>
            <w:r w:rsidRPr="00624D92">
              <w:rPr>
                <w:rFonts w:ascii="Cambria" w:hAnsi="Cambria"/>
                <w:sz w:val="20"/>
                <w:szCs w:val="20"/>
              </w:rPr>
              <w:t xml:space="preserve"> The petitioners indicate that Silvia Severini was forced to leave Argentina in 1976, together with her family, as a result of the circumstances and as the only alternative to safeguard her freedom and integrity.  The petitioners submit that before her exile, the alleged victim had been subject to persecution and threats by the military dictatorship as a consequence of her political activism, her husband’s and their families. In this regard, they point out that Silvia Severini was detained twice because of her role as a student and political activist: the first in 1972 when she was prosecuted under Law No. 17.401, and in 1974, when she was arrested and prosecuted for the alleged commission of criminal damage offenses and resistance to authority in the context of a protest held at the Universidad Tecnológica Nacional. In addition, she had been dismissed from her position at the School of Philosophy and Letters of the National University of Buenos Aires, threatened and her application for a passport had been denied.</w:t>
            </w:r>
          </w:p>
          <w:p w14:paraId="1725765E" w14:textId="77777777" w:rsidR="00B338C9" w:rsidRPr="00624D92" w:rsidRDefault="00B338C9" w:rsidP="00E22135">
            <w:pPr>
              <w:spacing w:after="0" w:line="240" w:lineRule="auto"/>
              <w:ind w:left="34" w:right="270" w:hanging="31"/>
              <w:jc w:val="both"/>
              <w:rPr>
                <w:rFonts w:ascii="Cambria" w:hAnsi="Cambria"/>
                <w:sz w:val="20"/>
                <w:szCs w:val="20"/>
              </w:rPr>
            </w:pPr>
          </w:p>
          <w:p w14:paraId="38FCE193" w14:textId="133AA4DB" w:rsidR="006F75AC" w:rsidRPr="007175E2" w:rsidRDefault="00B338C9" w:rsidP="00E22135">
            <w:pPr>
              <w:tabs>
                <w:tab w:val="left" w:pos="9270"/>
              </w:tabs>
              <w:spacing w:after="0" w:line="240" w:lineRule="auto"/>
              <w:ind w:left="34"/>
              <w:jc w:val="both"/>
              <w:rPr>
                <w:rFonts w:ascii="Cambria" w:eastAsia="Batang" w:hAnsi="Cambria"/>
                <w:color w:val="000000"/>
              </w:rPr>
            </w:pPr>
            <w:r w:rsidRPr="00624D92">
              <w:rPr>
                <w:rFonts w:ascii="Cambria" w:hAnsi="Cambria"/>
                <w:b/>
                <w:color w:val="000000"/>
                <w:sz w:val="20"/>
                <w:szCs w:val="20"/>
              </w:rPr>
              <w:t>Rights declared admissible</w:t>
            </w:r>
            <w:r w:rsidRPr="00624D92">
              <w:rPr>
                <w:rFonts w:ascii="Cambria" w:hAnsi="Cambria"/>
                <w:b/>
                <w:sz w:val="20"/>
                <w:szCs w:val="20"/>
              </w:rPr>
              <w:t>:</w:t>
            </w:r>
            <w:r w:rsidRPr="00624D92">
              <w:rPr>
                <w:rFonts w:ascii="Cambria" w:hAnsi="Cambria"/>
                <w:sz w:val="20"/>
                <w:szCs w:val="20"/>
              </w:rPr>
              <w:t xml:space="preserve"> On December 6, 2019, </w:t>
            </w:r>
            <w:r w:rsidRPr="00624D92">
              <w:rPr>
                <w:rFonts w:ascii="Cambria" w:hAnsi="Cambria"/>
                <w:color w:val="000000"/>
                <w:sz w:val="20"/>
                <w:szCs w:val="20"/>
              </w:rPr>
              <w:t>the IACHR declared the petition admissible in relation to</w:t>
            </w:r>
            <w:r w:rsidRPr="00624D92">
              <w:rPr>
                <w:rFonts w:ascii="Cambria" w:hAnsi="Cambria"/>
                <w:sz w:val="20"/>
                <w:szCs w:val="20"/>
              </w:rPr>
              <w:t xml:space="preserve"> articles 8 (fair trial), 24(equality before the law) and 25 (judicial protection) of the American Convention in relation to article 1.1 (obligation to respect rights).</w:t>
            </w:r>
            <w:r w:rsidRPr="00624D92">
              <w:rPr>
                <w:sz w:val="18"/>
                <w:szCs w:val="20"/>
              </w:rPr>
              <w:t xml:space="preserve"> </w:t>
            </w:r>
          </w:p>
        </w:tc>
      </w:tr>
    </w:tbl>
    <w:p w14:paraId="74053FDD" w14:textId="77777777" w:rsidR="001541D4" w:rsidRPr="007175E2" w:rsidRDefault="001541D4" w:rsidP="001541D4">
      <w:pPr>
        <w:spacing w:after="0" w:line="240" w:lineRule="auto"/>
        <w:ind w:left="720"/>
        <w:contextualSpacing/>
        <w:jc w:val="both"/>
        <w:rPr>
          <w:rFonts w:ascii="Cambria" w:eastAsia="Batang" w:hAnsi="Cambria" w:cs="Calibri Light"/>
          <w:b/>
          <w:color w:val="000000"/>
        </w:rPr>
      </w:pPr>
    </w:p>
    <w:p w14:paraId="08700397" w14:textId="77777777" w:rsidR="001541D4" w:rsidRPr="007175E2" w:rsidRDefault="001541D4" w:rsidP="00637AFB">
      <w:pPr>
        <w:numPr>
          <w:ilvl w:val="0"/>
          <w:numId w:val="37"/>
        </w:numPr>
        <w:spacing w:after="0" w:line="240" w:lineRule="auto"/>
        <w:ind w:left="0" w:firstLine="720"/>
        <w:contextualSpacing/>
        <w:jc w:val="both"/>
        <w:rPr>
          <w:rFonts w:ascii="Cambria" w:eastAsia="Batang" w:hAnsi="Cambria" w:cs="Calibri Light"/>
          <w:b/>
          <w:color w:val="000000"/>
        </w:rPr>
      </w:pPr>
      <w:r w:rsidRPr="007175E2">
        <w:rPr>
          <w:rFonts w:ascii="Cambria" w:eastAsia="Batang" w:hAnsi="Cambria"/>
          <w:b/>
          <w:color w:val="000000"/>
        </w:rPr>
        <w:t>PROCEDURAL ACTIVITY</w:t>
      </w:r>
    </w:p>
    <w:p w14:paraId="4C466689" w14:textId="77777777" w:rsidR="001541D4" w:rsidRPr="007175E2" w:rsidRDefault="001541D4" w:rsidP="001541D4">
      <w:pPr>
        <w:spacing w:after="0" w:line="240" w:lineRule="auto"/>
        <w:ind w:firstLine="720"/>
        <w:contextualSpacing/>
        <w:jc w:val="both"/>
        <w:rPr>
          <w:rFonts w:ascii="Cambria" w:eastAsia="Batang" w:hAnsi="Cambria" w:cs="Calibri Light"/>
          <w:b/>
          <w:color w:val="000000"/>
        </w:rPr>
      </w:pPr>
    </w:p>
    <w:p w14:paraId="622D1A9C" w14:textId="40B6F364" w:rsidR="001541D4" w:rsidRPr="00624D92" w:rsidRDefault="007F61C2" w:rsidP="007F61C2">
      <w:pPr>
        <w:pStyle w:val="ListParagraph"/>
        <w:numPr>
          <w:ilvl w:val="0"/>
          <w:numId w:val="4"/>
        </w:numPr>
        <w:spacing w:after="0" w:line="240" w:lineRule="auto"/>
        <w:ind w:left="0" w:firstLine="720"/>
        <w:jc w:val="both"/>
        <w:rPr>
          <w:rFonts w:ascii="Cambria" w:eastAsia="Batang" w:hAnsi="Cambria" w:cs="Calibri Light"/>
          <w:color w:val="000000"/>
          <w:sz w:val="20"/>
          <w:szCs w:val="20"/>
        </w:rPr>
      </w:pPr>
      <w:r w:rsidRPr="00624D92">
        <w:rPr>
          <w:rFonts w:ascii="Cambria" w:hAnsi="Cambria"/>
          <w:sz w:val="20"/>
          <w:szCs w:val="20"/>
        </w:rPr>
        <w:t>On February 23, 2022, the parties signed a friendly settlement agreement</w:t>
      </w:r>
      <w:r w:rsidR="00B4672E" w:rsidRPr="00624D92">
        <w:rPr>
          <w:rFonts w:ascii="Cambria" w:hAnsi="Cambria"/>
          <w:sz w:val="20"/>
          <w:szCs w:val="20"/>
        </w:rPr>
        <w:t>.</w:t>
      </w:r>
    </w:p>
    <w:p w14:paraId="37FFEF91" w14:textId="77777777" w:rsidR="007F61C2" w:rsidRPr="00624D92" w:rsidRDefault="007F61C2" w:rsidP="007F61C2">
      <w:pPr>
        <w:pStyle w:val="ListParagraph"/>
        <w:spacing w:after="0" w:line="240" w:lineRule="auto"/>
        <w:ind w:left="1080"/>
        <w:jc w:val="both"/>
        <w:rPr>
          <w:rFonts w:ascii="Cambria" w:eastAsia="Batang" w:hAnsi="Cambria"/>
          <w:bCs/>
          <w:color w:val="080808"/>
          <w:sz w:val="20"/>
          <w:szCs w:val="20"/>
        </w:rPr>
      </w:pPr>
    </w:p>
    <w:p w14:paraId="225512DA" w14:textId="762E691D" w:rsidR="006F75AC" w:rsidRPr="00624D92" w:rsidRDefault="007F61C2" w:rsidP="007F61C2">
      <w:pPr>
        <w:pStyle w:val="ListParagraph"/>
        <w:numPr>
          <w:ilvl w:val="0"/>
          <w:numId w:val="4"/>
        </w:numPr>
        <w:spacing w:after="0" w:line="240" w:lineRule="auto"/>
        <w:ind w:left="0" w:firstLine="720"/>
        <w:jc w:val="both"/>
        <w:rPr>
          <w:rFonts w:ascii="Cambria" w:eastAsia="Batang" w:hAnsi="Cambria" w:cs="Calibri Light"/>
          <w:color w:val="000000"/>
          <w:sz w:val="20"/>
          <w:szCs w:val="20"/>
        </w:rPr>
      </w:pPr>
      <w:r w:rsidRPr="00624D92">
        <w:rPr>
          <w:rFonts w:ascii="Cambria" w:hAnsi="Cambria"/>
          <w:sz w:val="20"/>
          <w:szCs w:val="20"/>
        </w:rPr>
        <w:t>On December 11, 2022, the Commission approved the friendly settlement agreement in Report No. 349/22.</w:t>
      </w:r>
    </w:p>
    <w:p w14:paraId="1FEB4A7B" w14:textId="77777777" w:rsidR="001541D4" w:rsidRPr="007175E2" w:rsidRDefault="001541D4" w:rsidP="001541D4">
      <w:pPr>
        <w:spacing w:after="0" w:line="240" w:lineRule="auto"/>
        <w:ind w:firstLine="709"/>
        <w:contextualSpacing/>
        <w:jc w:val="both"/>
        <w:rPr>
          <w:rFonts w:ascii="Cambria" w:eastAsia="Batang" w:hAnsi="Cambria" w:cs="Calibri Light"/>
          <w:color w:val="000000"/>
          <w:highlight w:val="cyan"/>
        </w:rPr>
      </w:pPr>
    </w:p>
    <w:p w14:paraId="209504C3" w14:textId="77777777" w:rsidR="001541D4" w:rsidRPr="007175E2" w:rsidRDefault="001541D4" w:rsidP="001541D4">
      <w:pPr>
        <w:spacing w:after="0" w:line="240" w:lineRule="auto"/>
        <w:ind w:left="709" w:right="4"/>
        <w:jc w:val="both"/>
        <w:rPr>
          <w:rFonts w:ascii="Cambria" w:eastAsia="MS Mincho" w:hAnsi="Cambria"/>
          <w:color w:val="000000"/>
          <w:highlight w:val="yellow"/>
        </w:rPr>
      </w:pPr>
    </w:p>
    <w:p w14:paraId="0FE46989" w14:textId="77777777" w:rsidR="005C414D" w:rsidRPr="007175E2" w:rsidRDefault="005C414D" w:rsidP="005C414D">
      <w:pPr>
        <w:rPr>
          <w:rFonts w:ascii="Cambria" w:eastAsia="MS Mincho" w:hAnsi="Cambria"/>
          <w:highlight w:val="yellow"/>
        </w:rPr>
      </w:pPr>
    </w:p>
    <w:p w14:paraId="48B16531" w14:textId="77777777" w:rsidR="005C414D" w:rsidRPr="007175E2" w:rsidRDefault="005C414D" w:rsidP="005C414D">
      <w:pPr>
        <w:rPr>
          <w:rFonts w:ascii="Cambria" w:eastAsia="MS Mincho" w:hAnsi="Cambria"/>
          <w:highlight w:val="yellow"/>
        </w:rPr>
      </w:pPr>
    </w:p>
    <w:p w14:paraId="5883DA06" w14:textId="77777777" w:rsidR="005C414D" w:rsidRPr="007175E2" w:rsidRDefault="005C414D" w:rsidP="00637AFB">
      <w:pPr>
        <w:pStyle w:val="ListParagraph"/>
        <w:numPr>
          <w:ilvl w:val="0"/>
          <w:numId w:val="37"/>
        </w:numPr>
        <w:spacing w:after="0" w:line="240" w:lineRule="auto"/>
        <w:ind w:left="0" w:firstLine="720"/>
        <w:jc w:val="both"/>
        <w:rPr>
          <w:rFonts w:ascii="Cambria" w:eastAsia="Batang" w:hAnsi="Cambria" w:cs="Calibri Light"/>
          <w:b/>
          <w:color w:val="000000"/>
        </w:rPr>
        <w:sectPr w:rsidR="005C414D" w:rsidRPr="007175E2" w:rsidSect="00F36865">
          <w:headerReference w:type="default" r:id="rId15"/>
          <w:footerReference w:type="default" r:id="rId16"/>
          <w:headerReference w:type="first" r:id="rId17"/>
          <w:footerReference w:type="first" r:id="rId18"/>
          <w:pgSz w:w="12240" w:h="15840" w:code="1"/>
          <w:pgMar w:top="1440" w:right="1440" w:bottom="1440" w:left="1440" w:header="720" w:footer="720" w:gutter="0"/>
          <w:cols w:space="720"/>
          <w:titlePg/>
          <w:docGrid w:linePitch="360"/>
        </w:sectPr>
      </w:pPr>
    </w:p>
    <w:p w14:paraId="554FEE1F" w14:textId="77777777" w:rsidR="001541D4" w:rsidRPr="007175E2" w:rsidRDefault="001541D4" w:rsidP="00637AFB">
      <w:pPr>
        <w:pStyle w:val="ListParagraph"/>
        <w:numPr>
          <w:ilvl w:val="0"/>
          <w:numId w:val="37"/>
        </w:numPr>
        <w:spacing w:after="0" w:line="240" w:lineRule="auto"/>
        <w:ind w:left="0" w:firstLine="720"/>
        <w:jc w:val="both"/>
        <w:rPr>
          <w:rFonts w:ascii="Cambria" w:eastAsia="Batang" w:hAnsi="Cambria" w:cs="Calibri Light"/>
          <w:b/>
          <w:color w:val="000000"/>
        </w:rPr>
      </w:pPr>
      <w:r w:rsidRPr="007175E2">
        <w:rPr>
          <w:rFonts w:ascii="Cambria" w:eastAsia="Batang" w:hAnsi="Cambria" w:cs="Calibri Light"/>
          <w:b/>
          <w:color w:val="000000"/>
        </w:rPr>
        <w:lastRenderedPageBreak/>
        <w:t xml:space="preserve">ANALYSIS OF COMPLIANCE WITH THE CLAUSES OF THE FRIENDLY SETTLEMENT </w:t>
      </w:r>
    </w:p>
    <w:p w14:paraId="766F0236" w14:textId="77777777" w:rsidR="001541D4" w:rsidRPr="007175E2" w:rsidRDefault="001541D4" w:rsidP="001541D4">
      <w:pPr>
        <w:spacing w:after="0" w:line="240" w:lineRule="auto"/>
        <w:ind w:left="709" w:right="4"/>
        <w:jc w:val="both"/>
        <w:rPr>
          <w:rFonts w:ascii="Cambria" w:eastAsia="MS Mincho" w:hAnsi="Cambria"/>
          <w:color w:val="000000"/>
          <w:highlight w:val="yellow"/>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1"/>
        <w:gridCol w:w="1985"/>
      </w:tblGrid>
      <w:tr w:rsidR="00C03B37" w:rsidRPr="00E820C8" w14:paraId="53700876" w14:textId="77777777" w:rsidTr="00655003">
        <w:trPr>
          <w:jc w:val="center"/>
        </w:trPr>
        <w:tc>
          <w:tcPr>
            <w:tcW w:w="737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B4C17D" w14:textId="77777777" w:rsidR="003E6F57" w:rsidRPr="00624D92" w:rsidRDefault="003E6F57" w:rsidP="00F024F0">
            <w:pPr>
              <w:tabs>
                <w:tab w:val="center" w:pos="2049"/>
              </w:tabs>
              <w:spacing w:after="0" w:line="240" w:lineRule="auto"/>
              <w:jc w:val="center"/>
              <w:rPr>
                <w:rFonts w:ascii="Cambria" w:eastAsia="Batang" w:hAnsi="Cambria"/>
                <w:b/>
                <w:color w:val="000000"/>
                <w:sz w:val="20"/>
                <w:szCs w:val="20"/>
              </w:rPr>
            </w:pPr>
            <w:r w:rsidRPr="00624D92">
              <w:rPr>
                <w:rFonts w:ascii="Cambria" w:eastAsia="Batang" w:hAnsi="Cambria"/>
                <w:b/>
                <w:color w:val="000000"/>
                <w:sz w:val="20"/>
                <w:szCs w:val="20"/>
              </w:rPr>
              <w:t xml:space="preserve">Clause of the Agreement </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6F933C" w14:textId="77777777" w:rsidR="003E6F57" w:rsidRPr="00624D92" w:rsidRDefault="003E6F57" w:rsidP="00F024F0">
            <w:pPr>
              <w:spacing w:after="0" w:line="240" w:lineRule="auto"/>
              <w:jc w:val="center"/>
              <w:rPr>
                <w:rFonts w:ascii="Cambria" w:eastAsia="Batang" w:hAnsi="Cambria"/>
                <w:b/>
                <w:color w:val="000000"/>
                <w:sz w:val="20"/>
                <w:szCs w:val="20"/>
              </w:rPr>
            </w:pPr>
            <w:r w:rsidRPr="00624D92">
              <w:rPr>
                <w:rFonts w:ascii="Cambria" w:eastAsia="Batang" w:hAnsi="Cambria"/>
                <w:b/>
                <w:color w:val="000000"/>
                <w:sz w:val="20"/>
                <w:szCs w:val="20"/>
              </w:rPr>
              <w:t xml:space="preserve">Status of Implementation </w:t>
            </w:r>
          </w:p>
        </w:tc>
      </w:tr>
      <w:tr w:rsidR="00206E68" w:rsidRPr="00E820C8" w14:paraId="6196D1E4" w14:textId="77777777" w:rsidTr="00655003">
        <w:trPr>
          <w:trHeight w:val="221"/>
          <w:jc w:val="center"/>
        </w:trPr>
        <w:tc>
          <w:tcPr>
            <w:tcW w:w="7371" w:type="dxa"/>
            <w:tcBorders>
              <w:top w:val="single" w:sz="4" w:space="0" w:color="auto"/>
              <w:left w:val="single" w:sz="4" w:space="0" w:color="auto"/>
              <w:bottom w:val="single" w:sz="4" w:space="0" w:color="auto"/>
              <w:right w:val="single" w:sz="4" w:space="0" w:color="auto"/>
            </w:tcBorders>
            <w:vAlign w:val="center"/>
          </w:tcPr>
          <w:p w14:paraId="304AA782" w14:textId="71FF0A2A" w:rsidR="00206E68" w:rsidRPr="00624D92" w:rsidRDefault="00206E68" w:rsidP="006F75AC">
            <w:pPr>
              <w:spacing w:after="0" w:line="240" w:lineRule="auto"/>
              <w:jc w:val="both"/>
              <w:rPr>
                <w:rFonts w:ascii="Cambria" w:eastAsia="Batang" w:hAnsi="Cambria"/>
                <w:bCs/>
                <w:color w:val="080808"/>
                <w:sz w:val="20"/>
                <w:szCs w:val="20"/>
              </w:rPr>
            </w:pPr>
            <w:r w:rsidRPr="00624D92">
              <w:rPr>
                <w:rStyle w:val="normaltextrun"/>
                <w:rFonts w:ascii="Cambria" w:hAnsi="Cambria"/>
                <w:b/>
                <w:sz w:val="20"/>
                <w:szCs w:val="20"/>
              </w:rPr>
              <w:t>II. Measures to be adopted</w:t>
            </w:r>
          </w:p>
        </w:tc>
        <w:tc>
          <w:tcPr>
            <w:tcW w:w="1985" w:type="dxa"/>
            <w:tcBorders>
              <w:top w:val="single" w:sz="4" w:space="0" w:color="auto"/>
              <w:left w:val="single" w:sz="4" w:space="0" w:color="auto"/>
              <w:bottom w:val="single" w:sz="4" w:space="0" w:color="auto"/>
              <w:right w:val="single" w:sz="4" w:space="0" w:color="auto"/>
            </w:tcBorders>
            <w:vAlign w:val="center"/>
          </w:tcPr>
          <w:p w14:paraId="3B08F474" w14:textId="77777777" w:rsidR="00206E68" w:rsidRPr="00624D92" w:rsidRDefault="00206E68" w:rsidP="00F024F0">
            <w:pPr>
              <w:spacing w:after="0" w:line="240" w:lineRule="auto"/>
              <w:jc w:val="center"/>
              <w:rPr>
                <w:rFonts w:ascii="Cambria" w:eastAsia="Batang" w:hAnsi="Cambria"/>
                <w:b/>
                <w:color w:val="000000"/>
                <w:sz w:val="20"/>
                <w:szCs w:val="20"/>
                <w:lang w:eastAsia="es-ES_tradnl"/>
              </w:rPr>
            </w:pPr>
          </w:p>
        </w:tc>
      </w:tr>
      <w:tr w:rsidR="003E6F57" w:rsidRPr="00E820C8" w14:paraId="05E01043" w14:textId="77777777" w:rsidTr="00624D92">
        <w:trPr>
          <w:trHeight w:val="221"/>
          <w:jc w:val="center"/>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0F40E5F" w14:textId="2F43FC47" w:rsidR="003E6F57" w:rsidRPr="00624D92" w:rsidRDefault="00206E68" w:rsidP="00F024F0">
            <w:pPr>
              <w:spacing w:after="0" w:line="240" w:lineRule="auto"/>
              <w:jc w:val="both"/>
              <w:rPr>
                <w:rFonts w:ascii="Cambria" w:eastAsia="MS Mincho" w:hAnsi="Cambria"/>
                <w:b/>
                <w:sz w:val="20"/>
                <w:szCs w:val="20"/>
                <w:lang w:eastAsia="es-ES_tradnl"/>
              </w:rPr>
            </w:pPr>
            <w:r w:rsidRPr="00624D92">
              <w:rPr>
                <w:rFonts w:ascii="Cambria" w:hAnsi="Cambria"/>
                <w:color w:val="000000"/>
                <w:sz w:val="20"/>
                <w:szCs w:val="20"/>
              </w:rPr>
              <w:t>1. The parties agree that pecuniary compensation will be granted in accordance with the scheme provided in</w:t>
            </w:r>
            <w:r w:rsidRPr="00624D92">
              <w:rPr>
                <w:rStyle w:val="normaltextrun"/>
                <w:rFonts w:ascii="Cambria" w:hAnsi="Cambria"/>
                <w:sz w:val="20"/>
                <w:szCs w:val="20"/>
                <w:shd w:val="clear" w:color="auto" w:fill="FFFF00"/>
              </w:rPr>
              <w:t xml:space="preserve"> </w:t>
            </w:r>
            <w:r w:rsidRPr="00624D92">
              <w:rPr>
                <w:rFonts w:ascii="Cambria" w:hAnsi="Cambria"/>
                <w:color w:val="000000"/>
                <w:sz w:val="20"/>
                <w:szCs w:val="20"/>
              </w:rPr>
              <w:t>Law No. 24,043, to which end the entire period during which Mrs. Silvia Mónica Severini remained in forced exile will be considered, in keeping with opinion IF-2022-08499390-APN-SSPYEIDH#MJ. That is, from January 11, 1977, to October 28, 1983.</w:t>
            </w:r>
          </w:p>
        </w:tc>
        <w:tc>
          <w:tcPr>
            <w:tcW w:w="1985" w:type="dxa"/>
            <w:tcBorders>
              <w:top w:val="single" w:sz="4" w:space="0" w:color="auto"/>
              <w:left w:val="single" w:sz="4" w:space="0" w:color="auto"/>
              <w:bottom w:val="single" w:sz="4" w:space="0" w:color="auto"/>
              <w:right w:val="single" w:sz="4" w:space="0" w:color="auto"/>
            </w:tcBorders>
            <w:vAlign w:val="center"/>
          </w:tcPr>
          <w:p w14:paraId="1DD81666" w14:textId="235B8CD6" w:rsidR="003E6F57" w:rsidRPr="00624D92" w:rsidRDefault="00206E68" w:rsidP="00F024F0">
            <w:pPr>
              <w:spacing w:after="0" w:line="240" w:lineRule="auto"/>
              <w:jc w:val="center"/>
              <w:rPr>
                <w:rFonts w:ascii="Cambria" w:hAnsi="Cambria"/>
                <w:b/>
                <w:sz w:val="20"/>
                <w:szCs w:val="20"/>
              </w:rPr>
            </w:pPr>
            <w:r w:rsidRPr="00624D92">
              <w:rPr>
                <w:rFonts w:ascii="Cambria" w:eastAsia="Batang" w:hAnsi="Cambria"/>
                <w:b/>
                <w:color w:val="000000"/>
                <w:sz w:val="20"/>
                <w:szCs w:val="20"/>
                <w:lang w:eastAsia="es-ES_tradnl"/>
              </w:rPr>
              <w:t>Total</w:t>
            </w:r>
            <w:r w:rsidR="003E6F57" w:rsidRPr="00624D92">
              <w:rPr>
                <w:rFonts w:ascii="Cambria" w:eastAsia="Batang" w:hAnsi="Cambria"/>
                <w:b/>
                <w:color w:val="000000"/>
                <w:sz w:val="20"/>
                <w:szCs w:val="20"/>
                <w:lang w:eastAsia="es-ES_tradnl"/>
              </w:rPr>
              <w:t xml:space="preserve"> </w:t>
            </w:r>
            <w:r w:rsidR="00F51847" w:rsidRPr="00624D92">
              <w:rPr>
                <w:rStyle w:val="FootnoteReference"/>
                <w:rFonts w:ascii="Cambria" w:hAnsi="Cambria"/>
                <w:b/>
                <w:sz w:val="20"/>
                <w:szCs w:val="20"/>
              </w:rPr>
              <w:footnoteReference w:id="1"/>
            </w:r>
          </w:p>
        </w:tc>
      </w:tr>
      <w:tr w:rsidR="003E6F57" w:rsidRPr="00E820C8" w14:paraId="6133689B" w14:textId="77777777" w:rsidTr="00655003">
        <w:trPr>
          <w:trHeight w:val="608"/>
          <w:jc w:val="center"/>
        </w:trPr>
        <w:tc>
          <w:tcPr>
            <w:tcW w:w="7371" w:type="dxa"/>
            <w:tcBorders>
              <w:top w:val="single" w:sz="4" w:space="0" w:color="auto"/>
              <w:left w:val="single" w:sz="4" w:space="0" w:color="auto"/>
              <w:bottom w:val="single" w:sz="4" w:space="0" w:color="auto"/>
              <w:right w:val="single" w:sz="4" w:space="0" w:color="auto"/>
            </w:tcBorders>
          </w:tcPr>
          <w:p w14:paraId="4DE29DF2" w14:textId="4F8AB3A9" w:rsidR="003E6F57" w:rsidRPr="00624D92" w:rsidRDefault="00206E68" w:rsidP="00F024F0">
            <w:pPr>
              <w:spacing w:after="0" w:line="240" w:lineRule="auto"/>
              <w:ind w:right="72"/>
              <w:jc w:val="both"/>
              <w:rPr>
                <w:rFonts w:ascii="Cambria" w:hAnsi="Cambria"/>
                <w:bCs/>
                <w:color w:val="000000"/>
                <w:kern w:val="36"/>
                <w:sz w:val="20"/>
                <w:szCs w:val="20"/>
              </w:rPr>
            </w:pPr>
            <w:r w:rsidRPr="00624D92">
              <w:rPr>
                <w:rFonts w:ascii="Cambria" w:hAnsi="Cambria"/>
                <w:color w:val="000000"/>
                <w:sz w:val="20"/>
                <w:szCs w:val="20"/>
              </w:rPr>
              <w:t>2. The Argentine State undertakes that, within three (3) months from the publication in the Official Gazette of the Argentine Republic of the executive decree approving this agreement, a ministerial resolution will be issued granting the reparation benefit provided for in Law No. 24,043, without any additional costs or expenses. The amount of the reparation will be calculated at the date of issuance of said ministerial resolution.</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9D23B23" w14:textId="6B84322C" w:rsidR="003E6F57" w:rsidRPr="00624D92" w:rsidRDefault="00206E68" w:rsidP="00F024F0">
            <w:pPr>
              <w:spacing w:after="0" w:line="240" w:lineRule="auto"/>
              <w:jc w:val="center"/>
              <w:rPr>
                <w:rFonts w:ascii="Cambria" w:eastAsia="Batang" w:hAnsi="Cambria"/>
                <w:b/>
                <w:bCs/>
                <w:color w:val="000000"/>
                <w:sz w:val="20"/>
                <w:szCs w:val="20"/>
              </w:rPr>
            </w:pPr>
            <w:r w:rsidRPr="00624D92">
              <w:rPr>
                <w:rFonts w:ascii="Cambria" w:eastAsia="Batang" w:hAnsi="Cambria"/>
                <w:b/>
                <w:bCs/>
                <w:color w:val="000000"/>
                <w:sz w:val="20"/>
                <w:szCs w:val="20"/>
                <w:lang w:eastAsia="es-ES_tradnl"/>
              </w:rPr>
              <w:t>Total</w:t>
            </w:r>
            <w:r w:rsidRPr="00624D92">
              <w:rPr>
                <w:rStyle w:val="FootnoteReference"/>
                <w:rFonts w:ascii="Cambria" w:eastAsia="Batang" w:hAnsi="Cambria"/>
                <w:b/>
                <w:bCs/>
                <w:color w:val="000000"/>
                <w:sz w:val="20"/>
                <w:szCs w:val="20"/>
              </w:rPr>
              <w:footnoteReference w:id="2"/>
            </w:r>
          </w:p>
        </w:tc>
      </w:tr>
      <w:tr w:rsidR="003E6F57" w:rsidRPr="00E820C8" w14:paraId="0C4AA553" w14:textId="77777777" w:rsidTr="00655003">
        <w:trPr>
          <w:trHeight w:val="367"/>
          <w:jc w:val="center"/>
        </w:trPr>
        <w:tc>
          <w:tcPr>
            <w:tcW w:w="7371" w:type="dxa"/>
            <w:tcBorders>
              <w:top w:val="single" w:sz="4" w:space="0" w:color="auto"/>
              <w:left w:val="single" w:sz="4" w:space="0" w:color="auto"/>
              <w:bottom w:val="single" w:sz="4" w:space="0" w:color="auto"/>
              <w:right w:val="single" w:sz="4" w:space="0" w:color="auto"/>
            </w:tcBorders>
            <w:vAlign w:val="center"/>
          </w:tcPr>
          <w:p w14:paraId="0E34A83C" w14:textId="7E644D69" w:rsidR="003E6F57" w:rsidRPr="00624D92" w:rsidRDefault="00206E68" w:rsidP="00F024F0">
            <w:pPr>
              <w:spacing w:after="0" w:line="240" w:lineRule="auto"/>
              <w:ind w:right="72"/>
              <w:jc w:val="both"/>
              <w:rPr>
                <w:rFonts w:ascii="Cambria" w:eastAsia="Times New Roman" w:hAnsi="Cambria"/>
                <w:bCs/>
                <w:sz w:val="20"/>
                <w:szCs w:val="20"/>
              </w:rPr>
            </w:pPr>
            <w:r w:rsidRPr="00624D92">
              <w:rPr>
                <w:rFonts w:ascii="Cambria" w:hAnsi="Cambria"/>
                <w:sz w:val="20"/>
                <w:szCs w:val="20"/>
              </w:rPr>
              <w:t>3. The State also undertakes to comply with the term of Article 30 of the regulations on Chapter V of Law No. 25,344, as provided in Executive Decree No. 1116/2000.</w:t>
            </w:r>
          </w:p>
        </w:tc>
        <w:tc>
          <w:tcPr>
            <w:tcW w:w="1985" w:type="dxa"/>
            <w:tcBorders>
              <w:top w:val="single" w:sz="4" w:space="0" w:color="auto"/>
              <w:left w:val="single" w:sz="4" w:space="0" w:color="auto"/>
              <w:bottom w:val="single" w:sz="4" w:space="0" w:color="auto"/>
              <w:right w:val="single" w:sz="4" w:space="0" w:color="auto"/>
            </w:tcBorders>
            <w:vAlign w:val="center"/>
          </w:tcPr>
          <w:p w14:paraId="1526CB1C" w14:textId="77777777" w:rsidR="003E6F57" w:rsidRPr="00624D92" w:rsidRDefault="003E6F57" w:rsidP="00F024F0">
            <w:pPr>
              <w:spacing w:after="0" w:line="240" w:lineRule="auto"/>
              <w:jc w:val="center"/>
              <w:rPr>
                <w:rFonts w:ascii="Cambria" w:hAnsi="Cambria"/>
                <w:b/>
                <w:color w:val="000000"/>
                <w:sz w:val="20"/>
                <w:szCs w:val="20"/>
              </w:rPr>
            </w:pPr>
            <w:r w:rsidRPr="00624D92">
              <w:rPr>
                <w:rFonts w:ascii="Cambria" w:hAnsi="Cambria"/>
                <w:b/>
                <w:sz w:val="20"/>
                <w:szCs w:val="20"/>
              </w:rPr>
              <w:t>Total</w:t>
            </w:r>
            <w:r w:rsidRPr="00624D92">
              <w:rPr>
                <w:rFonts w:ascii="Cambria" w:eastAsia="MS Mincho" w:hAnsi="Cambria"/>
                <w:b/>
                <w:sz w:val="20"/>
                <w:szCs w:val="20"/>
                <w:vertAlign w:val="superscript"/>
                <w:lang w:eastAsia="es-ES_tradnl"/>
              </w:rPr>
              <w:footnoteReference w:id="3"/>
            </w:r>
          </w:p>
        </w:tc>
      </w:tr>
      <w:tr w:rsidR="003E6F57" w:rsidRPr="00C2428C" w14:paraId="29CCA4D8" w14:textId="77777777" w:rsidTr="00655003">
        <w:trPr>
          <w:trHeight w:val="274"/>
          <w:jc w:val="center"/>
        </w:trPr>
        <w:tc>
          <w:tcPr>
            <w:tcW w:w="7371" w:type="dxa"/>
            <w:tcBorders>
              <w:top w:val="single" w:sz="4" w:space="0" w:color="auto"/>
              <w:left w:val="single" w:sz="4" w:space="0" w:color="auto"/>
              <w:bottom w:val="single" w:sz="4" w:space="0" w:color="auto"/>
              <w:right w:val="single" w:sz="4" w:space="0" w:color="auto"/>
            </w:tcBorders>
          </w:tcPr>
          <w:p w14:paraId="7EC4F4AA" w14:textId="736B7C3D" w:rsidR="003E6F57" w:rsidRPr="00624D92" w:rsidRDefault="00206E68" w:rsidP="00F024F0">
            <w:pPr>
              <w:spacing w:after="0" w:line="240" w:lineRule="auto"/>
              <w:ind w:right="72"/>
              <w:jc w:val="both"/>
              <w:rPr>
                <w:rFonts w:ascii="Cambria" w:eastAsia="Times New Roman" w:hAnsi="Cambria"/>
                <w:bCs/>
                <w:sz w:val="20"/>
                <w:szCs w:val="20"/>
              </w:rPr>
            </w:pPr>
            <w:r w:rsidRPr="00624D92">
              <w:rPr>
                <w:rFonts w:ascii="Cambria" w:hAnsi="Cambria"/>
                <w:sz w:val="20"/>
                <w:szCs w:val="20"/>
              </w:rPr>
              <w:t>4. Upon payment of the reparation provided for in section II.2 of this agreement, the petitioners permanently and irrevocably waive the right to bring any other financial claim against the State in relation to the facts that gave rise to this case.</w:t>
            </w:r>
          </w:p>
        </w:tc>
        <w:tc>
          <w:tcPr>
            <w:tcW w:w="1985" w:type="dxa"/>
            <w:tcBorders>
              <w:top w:val="single" w:sz="4" w:space="0" w:color="auto"/>
              <w:left w:val="single" w:sz="4" w:space="0" w:color="auto"/>
              <w:bottom w:val="single" w:sz="4" w:space="0" w:color="auto"/>
              <w:right w:val="single" w:sz="4" w:space="0" w:color="auto"/>
            </w:tcBorders>
            <w:vAlign w:val="center"/>
          </w:tcPr>
          <w:p w14:paraId="64EB168A" w14:textId="60DF2465" w:rsidR="003E6F57" w:rsidRPr="00624D92" w:rsidRDefault="00206E68" w:rsidP="00F024F0">
            <w:pPr>
              <w:spacing w:after="0" w:line="240" w:lineRule="auto"/>
              <w:jc w:val="center"/>
              <w:rPr>
                <w:rFonts w:ascii="Cambria" w:hAnsi="Cambria"/>
                <w:b/>
                <w:color w:val="000000"/>
                <w:sz w:val="20"/>
                <w:szCs w:val="20"/>
              </w:rPr>
            </w:pPr>
            <w:r w:rsidRPr="00624D92">
              <w:rPr>
                <w:rFonts w:ascii="Cambria" w:eastAsia="Batang" w:hAnsi="Cambria"/>
                <w:b/>
                <w:color w:val="000000"/>
                <w:sz w:val="20"/>
                <w:szCs w:val="20"/>
                <w:lang w:eastAsia="es-ES_tradnl"/>
              </w:rPr>
              <w:t>Declarative clause</w:t>
            </w:r>
          </w:p>
        </w:tc>
      </w:tr>
    </w:tbl>
    <w:p w14:paraId="76569D6D" w14:textId="77777777" w:rsidR="003E6F57" w:rsidRPr="007175E2" w:rsidRDefault="003E6F57" w:rsidP="001541D4">
      <w:pPr>
        <w:spacing w:after="0" w:line="240" w:lineRule="auto"/>
        <w:ind w:left="709" w:right="4"/>
        <w:jc w:val="both"/>
        <w:rPr>
          <w:rFonts w:ascii="Cambria" w:eastAsia="MS Mincho" w:hAnsi="Cambria"/>
          <w:color w:val="000000"/>
          <w:highlight w:val="yellow"/>
        </w:rPr>
      </w:pPr>
    </w:p>
    <w:p w14:paraId="73E24492" w14:textId="77777777" w:rsidR="003E6F57" w:rsidRPr="007175E2" w:rsidRDefault="003E6F57" w:rsidP="00637AFB">
      <w:pPr>
        <w:numPr>
          <w:ilvl w:val="0"/>
          <w:numId w:val="37"/>
        </w:numPr>
        <w:tabs>
          <w:tab w:val="left" w:pos="720"/>
        </w:tabs>
        <w:autoSpaceDE w:val="0"/>
        <w:autoSpaceDN w:val="0"/>
        <w:adjustRightInd w:val="0"/>
        <w:spacing w:after="0" w:line="240" w:lineRule="auto"/>
        <w:jc w:val="both"/>
        <w:rPr>
          <w:rFonts w:ascii="Cambria" w:eastAsia="Batang" w:hAnsi="Cambria" w:cs="Calibri Light"/>
          <w:b/>
          <w:color w:val="000000"/>
        </w:rPr>
      </w:pPr>
      <w:r w:rsidRPr="007175E2">
        <w:rPr>
          <w:rFonts w:ascii="Cambria" w:eastAsia="Batang" w:hAnsi="Cambria" w:cs="Calibri Light"/>
          <w:b/>
          <w:color w:val="000000"/>
        </w:rPr>
        <w:t xml:space="preserve">LEVEL OF COMPLIANCE OF THE CASE </w:t>
      </w:r>
    </w:p>
    <w:p w14:paraId="4A6D9D7C" w14:textId="77777777" w:rsidR="003E6F57" w:rsidRPr="007175E2" w:rsidRDefault="003E6F57" w:rsidP="003E6F57">
      <w:pPr>
        <w:tabs>
          <w:tab w:val="left" w:pos="720"/>
        </w:tabs>
        <w:autoSpaceDE w:val="0"/>
        <w:autoSpaceDN w:val="0"/>
        <w:adjustRightInd w:val="0"/>
        <w:spacing w:after="0" w:line="240" w:lineRule="auto"/>
        <w:ind w:left="1440"/>
        <w:jc w:val="both"/>
        <w:rPr>
          <w:rFonts w:ascii="Cambria" w:eastAsia="Batang" w:hAnsi="Cambria"/>
          <w:color w:val="000000"/>
        </w:rPr>
      </w:pPr>
    </w:p>
    <w:p w14:paraId="6A3F6F0B" w14:textId="03C44548" w:rsidR="003E6F57" w:rsidRPr="00624D92" w:rsidRDefault="003E6F57" w:rsidP="00D92745">
      <w:pPr>
        <w:pStyle w:val="ListParagraph"/>
        <w:numPr>
          <w:ilvl w:val="0"/>
          <w:numId w:val="4"/>
        </w:numPr>
        <w:autoSpaceDE w:val="0"/>
        <w:autoSpaceDN w:val="0"/>
        <w:adjustRightInd w:val="0"/>
        <w:spacing w:after="0" w:line="240" w:lineRule="auto"/>
        <w:ind w:left="0" w:firstLine="720"/>
        <w:jc w:val="both"/>
        <w:rPr>
          <w:rFonts w:ascii="Cambria" w:eastAsia="Batang" w:hAnsi="Cambria" w:cs="Calibri Light"/>
          <w:b/>
          <w:color w:val="080808"/>
          <w:sz w:val="20"/>
          <w:szCs w:val="20"/>
        </w:rPr>
      </w:pPr>
      <w:r w:rsidRPr="00624D92">
        <w:rPr>
          <w:rFonts w:ascii="Cambria" w:hAnsi="Cambria"/>
          <w:color w:val="080808"/>
          <w:sz w:val="20"/>
          <w:szCs w:val="20"/>
        </w:rPr>
        <w:t>The Commission declared full compliance with the case and the ceasing of the follow-up of the friendly settlement agreement in the 202</w:t>
      </w:r>
      <w:r w:rsidR="006F75AC" w:rsidRPr="00624D92">
        <w:rPr>
          <w:rFonts w:ascii="Cambria" w:hAnsi="Cambria"/>
          <w:color w:val="080808"/>
          <w:sz w:val="20"/>
          <w:szCs w:val="20"/>
        </w:rPr>
        <w:t>3</w:t>
      </w:r>
      <w:r w:rsidRPr="00624D92">
        <w:rPr>
          <w:rFonts w:ascii="Cambria" w:hAnsi="Cambria"/>
          <w:color w:val="080808"/>
          <w:sz w:val="20"/>
          <w:szCs w:val="20"/>
        </w:rPr>
        <w:t xml:space="preserve"> Annual Report.</w:t>
      </w:r>
    </w:p>
    <w:p w14:paraId="1E93E066" w14:textId="77777777" w:rsidR="003E6F57" w:rsidRPr="00312B7A" w:rsidRDefault="003E6F57" w:rsidP="003E6F57">
      <w:pPr>
        <w:pStyle w:val="ListParagraph"/>
        <w:autoSpaceDE w:val="0"/>
        <w:autoSpaceDN w:val="0"/>
        <w:adjustRightInd w:val="0"/>
        <w:spacing w:after="0" w:line="240" w:lineRule="auto"/>
        <w:ind w:left="0" w:firstLine="709"/>
        <w:jc w:val="both"/>
        <w:rPr>
          <w:rFonts w:ascii="Cambria" w:eastAsia="Batang" w:hAnsi="Cambria" w:cs="Calibri Light"/>
          <w:b/>
          <w:color w:val="080808"/>
        </w:rPr>
      </w:pPr>
    </w:p>
    <w:p w14:paraId="5C8A15CB" w14:textId="346D1DCF" w:rsidR="00D92745" w:rsidRPr="00312B7A" w:rsidRDefault="00D92745" w:rsidP="00D92745">
      <w:pPr>
        <w:pStyle w:val="ListParagraph"/>
        <w:numPr>
          <w:ilvl w:val="0"/>
          <w:numId w:val="37"/>
        </w:numPr>
        <w:spacing w:after="0" w:line="240" w:lineRule="auto"/>
        <w:jc w:val="both"/>
        <w:rPr>
          <w:rFonts w:ascii="Cambria" w:eastAsia="Batang" w:hAnsi="Cambria" w:cs="Calibri Light"/>
          <w:b/>
          <w:color w:val="000000"/>
        </w:rPr>
      </w:pPr>
      <w:r w:rsidRPr="00312B7A">
        <w:rPr>
          <w:rFonts w:ascii="Cambria" w:eastAsia="Batang" w:hAnsi="Cambria" w:cs="Calibri Light"/>
          <w:b/>
          <w:color w:val="000000"/>
        </w:rPr>
        <w:t xml:space="preserve">INDIVIDUAL AND STRUCTURAL OUTCOMES OF THE CASE </w:t>
      </w:r>
    </w:p>
    <w:p w14:paraId="3872FE90" w14:textId="77777777" w:rsidR="00D92745" w:rsidRPr="00312B7A" w:rsidRDefault="00D92745" w:rsidP="00D92745">
      <w:pPr>
        <w:spacing w:after="0" w:line="240" w:lineRule="auto"/>
        <w:ind w:firstLine="709"/>
        <w:contextualSpacing/>
        <w:jc w:val="both"/>
        <w:rPr>
          <w:rFonts w:ascii="Cambria" w:eastAsia="Batang" w:hAnsi="Cambria" w:cs="Calibri Light"/>
          <w:b/>
          <w:color w:val="000000"/>
        </w:rPr>
      </w:pPr>
    </w:p>
    <w:p w14:paraId="2E9CB0C8" w14:textId="77777777" w:rsidR="00D92745" w:rsidRPr="00624D92" w:rsidRDefault="00D92745" w:rsidP="00D92745">
      <w:pPr>
        <w:numPr>
          <w:ilvl w:val="0"/>
          <w:numId w:val="38"/>
        </w:numPr>
        <w:spacing w:after="0" w:line="240" w:lineRule="auto"/>
        <w:ind w:left="1418" w:right="4" w:hanging="709"/>
        <w:contextualSpacing/>
        <w:jc w:val="both"/>
        <w:rPr>
          <w:rFonts w:ascii="Cambria" w:hAnsi="Cambria" w:cs="Calibri Light"/>
          <w:b/>
          <w:sz w:val="20"/>
          <w:szCs w:val="20"/>
        </w:rPr>
      </w:pPr>
      <w:r w:rsidRPr="00624D92">
        <w:rPr>
          <w:rFonts w:ascii="Cambria" w:hAnsi="Cambria" w:cs="Calibri Light"/>
          <w:b/>
          <w:sz w:val="20"/>
          <w:szCs w:val="20"/>
        </w:rPr>
        <w:t>Individual outcomes of the case</w:t>
      </w:r>
    </w:p>
    <w:p w14:paraId="5D822BB5" w14:textId="77777777" w:rsidR="00D92745" w:rsidRPr="00312B7A" w:rsidRDefault="00D92745" w:rsidP="00D92745">
      <w:pPr>
        <w:spacing w:after="0" w:line="240" w:lineRule="auto"/>
        <w:jc w:val="both"/>
        <w:rPr>
          <w:rFonts w:ascii="Cambria" w:eastAsia="Batang" w:hAnsi="Cambria" w:cs="Calibri Light"/>
          <w:b/>
          <w:color w:val="000000"/>
        </w:rPr>
      </w:pPr>
    </w:p>
    <w:p w14:paraId="65D3B1FE" w14:textId="77777777" w:rsidR="00D92745" w:rsidRPr="00624D92" w:rsidRDefault="00D92745" w:rsidP="00624D92">
      <w:pPr>
        <w:pStyle w:val="ListParagraph"/>
        <w:numPr>
          <w:ilvl w:val="0"/>
          <w:numId w:val="41"/>
        </w:numPr>
        <w:spacing w:after="0" w:line="240" w:lineRule="auto"/>
        <w:ind w:left="1440" w:hanging="720"/>
        <w:jc w:val="both"/>
        <w:rPr>
          <w:rFonts w:ascii="Cambria" w:eastAsia="MS Mincho" w:hAnsi="Cambria"/>
          <w:sz w:val="20"/>
          <w:szCs w:val="20"/>
        </w:rPr>
      </w:pPr>
      <w:r w:rsidRPr="00624D92">
        <w:rPr>
          <w:rFonts w:ascii="Cambria" w:hAnsi="Cambria"/>
          <w:sz w:val="20"/>
          <w:szCs w:val="20"/>
        </w:rPr>
        <w:t>On October 21, 2022, the Minister of Justice and Human Rights of the Nation issued resolution RESOL-2022-1594-APNMJ by which it resolved to grant Silvia Severini the benefit provided by Law No. 24.043, as well as establishing the days for which compensation was due and the appropriate compensation amount.</w:t>
      </w:r>
    </w:p>
    <w:p w14:paraId="0560450E" w14:textId="1B657651" w:rsidR="00D92745" w:rsidRPr="00624D92" w:rsidRDefault="00D92745" w:rsidP="00624D92">
      <w:pPr>
        <w:pStyle w:val="ListParagraph"/>
        <w:numPr>
          <w:ilvl w:val="0"/>
          <w:numId w:val="41"/>
        </w:numPr>
        <w:suppressAutoHyphens/>
        <w:spacing w:after="0" w:line="240" w:lineRule="auto"/>
        <w:ind w:left="1440" w:hanging="720"/>
        <w:jc w:val="both"/>
        <w:rPr>
          <w:rFonts w:ascii="Cambria" w:eastAsia="MS Mincho" w:hAnsi="Cambria"/>
          <w:color w:val="000000"/>
          <w:sz w:val="20"/>
          <w:szCs w:val="20"/>
        </w:rPr>
      </w:pPr>
      <w:r w:rsidRPr="00624D92">
        <w:rPr>
          <w:rFonts w:ascii="Cambria" w:hAnsi="Cambria"/>
          <w:sz w:val="20"/>
          <w:szCs w:val="20"/>
        </w:rPr>
        <w:t>On May 23, 2022, the settlement registered under Number 19707 was carried out by the Reparation Law Payment Unit and the corresponding Instruction for the Payment of Benefits and Compensation was issued for pecuniary reparation in accordance with the arrangements established by Law No. 24,043.</w:t>
      </w:r>
    </w:p>
    <w:p w14:paraId="348955C8" w14:textId="795BC8AC" w:rsidR="003E6F57" w:rsidRPr="006F75AC" w:rsidRDefault="003E6F57" w:rsidP="00D92745">
      <w:pPr>
        <w:tabs>
          <w:tab w:val="left" w:pos="0"/>
        </w:tabs>
        <w:spacing w:after="0" w:line="240" w:lineRule="auto"/>
        <w:ind w:right="4"/>
        <w:contextualSpacing/>
        <w:jc w:val="both"/>
        <w:rPr>
          <w:rFonts w:ascii="Cambria" w:eastAsia="MS Mincho" w:hAnsi="Cambria"/>
          <w:color w:val="000000"/>
          <w:highlight w:val="yellow"/>
        </w:rPr>
      </w:pPr>
    </w:p>
    <w:sectPr w:rsidR="003E6F57" w:rsidRPr="006F75AC" w:rsidSect="00F368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2E490" w14:textId="77777777" w:rsidR="00CD3C0B" w:rsidRDefault="00CD3C0B" w:rsidP="00A343FF">
      <w:pPr>
        <w:spacing w:after="0" w:line="240" w:lineRule="auto"/>
      </w:pPr>
      <w:r>
        <w:separator/>
      </w:r>
    </w:p>
  </w:endnote>
  <w:endnote w:type="continuationSeparator" w:id="0">
    <w:p w14:paraId="532083F9" w14:textId="77777777" w:rsidR="00CD3C0B" w:rsidRDefault="00CD3C0B" w:rsidP="00A34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43703" w14:textId="77777777" w:rsidR="00A61B5E" w:rsidRPr="00A61B5E" w:rsidRDefault="00A61B5E">
    <w:pPr>
      <w:pStyle w:val="Footer"/>
      <w:jc w:val="center"/>
      <w:rPr>
        <w:color w:val="404040"/>
        <w:sz w:val="16"/>
        <w:szCs w:val="16"/>
      </w:rPr>
    </w:pPr>
    <w:r w:rsidRPr="00A61B5E">
      <w:rPr>
        <w:color w:val="404040"/>
        <w:sz w:val="16"/>
        <w:szCs w:val="16"/>
      </w:rPr>
      <w:fldChar w:fldCharType="begin"/>
    </w:r>
    <w:r w:rsidRPr="00A61B5E">
      <w:rPr>
        <w:color w:val="404040"/>
        <w:sz w:val="16"/>
        <w:szCs w:val="16"/>
      </w:rPr>
      <w:instrText xml:space="preserve"> PAGE   \* MERGEFORMAT </w:instrText>
    </w:r>
    <w:r w:rsidRPr="00A61B5E">
      <w:rPr>
        <w:color w:val="404040"/>
        <w:sz w:val="16"/>
        <w:szCs w:val="16"/>
      </w:rPr>
      <w:fldChar w:fldCharType="separate"/>
    </w:r>
    <w:r w:rsidR="00F74974">
      <w:rPr>
        <w:noProof/>
        <w:color w:val="404040"/>
        <w:sz w:val="16"/>
        <w:szCs w:val="16"/>
      </w:rPr>
      <w:t>2</w:t>
    </w:r>
    <w:r w:rsidRPr="00A61B5E">
      <w:rPr>
        <w:noProof/>
        <w:color w:val="404040"/>
        <w:sz w:val="16"/>
        <w:szCs w:val="16"/>
      </w:rPr>
      <w:fldChar w:fldCharType="end"/>
    </w:r>
  </w:p>
  <w:p w14:paraId="242F45FC" w14:textId="77777777" w:rsidR="00F66FEE" w:rsidRDefault="00F66FEE" w:rsidP="008550EF">
    <w:pPr>
      <w:pStyle w:val="Footer"/>
      <w:spacing w:line="360" w:lineRule="auto"/>
      <w:jc w:val="cente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BF5ED" w14:textId="77777777" w:rsidR="008F2248" w:rsidRDefault="00C757BE" w:rsidP="008F2248">
    <w:pPr>
      <w:pStyle w:val="Footer"/>
      <w:spacing w:line="360" w:lineRule="auto"/>
    </w:pPr>
    <w:r>
      <w:rPr>
        <w:noProof/>
      </w:rPr>
      <w:pict w14:anchorId="7DFD246B">
        <v:rect id="_x0000_i1027" alt="" style="width:441.9pt;height:.05pt;mso-width-percent:0;mso-height-percent:0;mso-width-percent:0;mso-height-percent:0" o:hralign="center" o:hrstd="t" o:hr="t" fillcolor="#a0a0a0" stroked="f"/>
      </w:pict>
    </w:r>
  </w:p>
  <w:p w14:paraId="6EC67A5C" w14:textId="77777777" w:rsidR="008F2248" w:rsidRDefault="00AB253B" w:rsidP="006E2BD8">
    <w:pPr>
      <w:pStyle w:val="Footer"/>
      <w:jc w:val="center"/>
    </w:pPr>
    <w:r>
      <w:rPr>
        <w:noProof/>
      </w:rPr>
      <w:drawing>
        <wp:inline distT="0" distB="0" distL="0" distR="0" wp14:anchorId="6DBA9108" wp14:editId="295ADEE9">
          <wp:extent cx="5235575" cy="324485"/>
          <wp:effectExtent l="0" t="0" r="0" b="0"/>
          <wp:docPr id="5"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5575" cy="3244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50422" w14:textId="77777777" w:rsidR="00CD3C0B" w:rsidRDefault="00CD3C0B" w:rsidP="00A343FF">
      <w:pPr>
        <w:spacing w:after="0" w:line="240" w:lineRule="auto"/>
      </w:pPr>
      <w:r>
        <w:separator/>
      </w:r>
    </w:p>
  </w:footnote>
  <w:footnote w:type="continuationSeparator" w:id="0">
    <w:p w14:paraId="3A72E066" w14:textId="77777777" w:rsidR="00CD3C0B" w:rsidRDefault="00CD3C0B" w:rsidP="00A343FF">
      <w:pPr>
        <w:spacing w:after="0" w:line="240" w:lineRule="auto"/>
      </w:pPr>
      <w:r>
        <w:continuationSeparator/>
      </w:r>
    </w:p>
  </w:footnote>
  <w:footnote w:id="1">
    <w:p w14:paraId="0A36C483" w14:textId="77C215F9" w:rsidR="00F51847" w:rsidRPr="00C869E0" w:rsidRDefault="00F51847" w:rsidP="00624D92">
      <w:pPr>
        <w:pStyle w:val="FootnoteText"/>
        <w:ind w:firstLine="709"/>
        <w:jc w:val="both"/>
        <w:rPr>
          <w:rFonts w:ascii="Cambria" w:hAnsi="Cambria"/>
          <w:sz w:val="16"/>
          <w:szCs w:val="16"/>
        </w:rPr>
      </w:pPr>
      <w:r w:rsidRPr="00624D92">
        <w:rPr>
          <w:rStyle w:val="FootnoteReference"/>
          <w:rFonts w:ascii="Cambria" w:hAnsi="Cambria"/>
          <w:sz w:val="16"/>
          <w:szCs w:val="16"/>
        </w:rPr>
        <w:footnoteRef/>
      </w:r>
      <w:r w:rsidRPr="00624D92">
        <w:rPr>
          <w:rFonts w:ascii="Cambria" w:hAnsi="Cambria"/>
          <w:sz w:val="16"/>
          <w:szCs w:val="16"/>
        </w:rPr>
        <w:t xml:space="preserve"> See IACHR, </w:t>
      </w:r>
      <w:r w:rsidRPr="00624D92">
        <w:rPr>
          <w:rFonts w:ascii="Cambria" w:hAnsi="Cambria"/>
          <w:i/>
          <w:iCs/>
          <w:sz w:val="16"/>
          <w:szCs w:val="16"/>
        </w:rPr>
        <w:t>Annual Report 2023</w:t>
      </w:r>
      <w:r w:rsidRPr="00624D92">
        <w:rPr>
          <w:rFonts w:ascii="Cambria" w:hAnsi="Cambria"/>
          <w:sz w:val="16"/>
          <w:szCs w:val="16"/>
        </w:rPr>
        <w:t xml:space="preserve">, Chapter II, Section C. Advances and regressions on negotiation and Implementation of Friendly Settlement Agreements. Available </w:t>
      </w:r>
      <w:r w:rsidR="00E22135" w:rsidRPr="00624D92">
        <w:rPr>
          <w:rFonts w:ascii="Cambria" w:hAnsi="Cambria"/>
          <w:sz w:val="16"/>
          <w:szCs w:val="16"/>
        </w:rPr>
        <w:t>at</w:t>
      </w:r>
      <w:r w:rsidRPr="00624D92">
        <w:rPr>
          <w:rFonts w:ascii="Cambria" w:hAnsi="Cambria"/>
          <w:sz w:val="16"/>
          <w:szCs w:val="16"/>
        </w:rPr>
        <w:t>:</w:t>
      </w:r>
      <w:r w:rsidR="00C869E0" w:rsidRPr="00C869E0">
        <w:rPr>
          <w:rFonts w:ascii="Cambria" w:hAnsi="Cambria"/>
          <w:sz w:val="16"/>
          <w:szCs w:val="16"/>
        </w:rPr>
        <w:t xml:space="preserve"> </w:t>
      </w:r>
      <w:hyperlink r:id="rId1" w:history="1">
        <w:r w:rsidR="00C869E0" w:rsidRPr="00C869E0">
          <w:rPr>
            <w:rStyle w:val="Hyperlink"/>
            <w:rFonts w:ascii="Cambria" w:hAnsi="Cambria"/>
            <w:sz w:val="16"/>
            <w:szCs w:val="16"/>
          </w:rPr>
          <w:t>https://www.oas.org/en/iachr/docs/annual/2023/chapters/IA2023_Cap_2_ENG.PDF</w:t>
        </w:r>
      </w:hyperlink>
    </w:p>
  </w:footnote>
  <w:footnote w:id="2">
    <w:p w14:paraId="227D9A6B" w14:textId="02D82F0D" w:rsidR="00206E68" w:rsidRPr="00C869E0" w:rsidRDefault="00206E68" w:rsidP="00206E68">
      <w:pPr>
        <w:pStyle w:val="FootnoteText"/>
        <w:ind w:firstLine="709"/>
        <w:jc w:val="both"/>
        <w:rPr>
          <w:rFonts w:ascii="Cambria" w:hAnsi="Cambria"/>
          <w:sz w:val="16"/>
          <w:szCs w:val="16"/>
        </w:rPr>
      </w:pPr>
      <w:r w:rsidRPr="00624D92">
        <w:rPr>
          <w:rStyle w:val="FootnoteReference"/>
          <w:rFonts w:ascii="Cambria" w:hAnsi="Cambria"/>
          <w:sz w:val="16"/>
          <w:szCs w:val="16"/>
        </w:rPr>
        <w:footnoteRef/>
      </w:r>
      <w:r w:rsidRPr="00624D92">
        <w:rPr>
          <w:rFonts w:ascii="Cambria" w:hAnsi="Cambria"/>
          <w:sz w:val="16"/>
          <w:szCs w:val="16"/>
        </w:rPr>
        <w:t xml:space="preserve"> </w:t>
      </w:r>
      <w:bookmarkStart w:id="0" w:name="_Hlk120027588"/>
      <w:r w:rsidRPr="00624D92">
        <w:rPr>
          <w:rFonts w:ascii="Cambria" w:hAnsi="Cambria"/>
          <w:sz w:val="16"/>
          <w:szCs w:val="16"/>
        </w:rPr>
        <w:t>IACHR, Report No. 349/22, Case 13.869 [</w:t>
      </w:r>
      <w:bookmarkStart w:id="1" w:name="_Hlk163473978"/>
      <w:r w:rsidRPr="00624D92">
        <w:rPr>
          <w:rFonts w:ascii="Cambria" w:hAnsi="Cambria"/>
          <w:sz w:val="16"/>
          <w:szCs w:val="16"/>
        </w:rPr>
        <w:t xml:space="preserve">Friendly Settlement], </w:t>
      </w:r>
      <w:bookmarkEnd w:id="1"/>
      <w:r w:rsidRPr="00624D92">
        <w:rPr>
          <w:rFonts w:ascii="Cambria" w:hAnsi="Cambria"/>
          <w:sz w:val="16"/>
          <w:szCs w:val="16"/>
        </w:rPr>
        <w:t>Silvia Mónica Severini, Argentina, December 11, 2022.</w:t>
      </w:r>
      <w:bookmarkEnd w:id="0"/>
      <w:r w:rsidRPr="00624D92">
        <w:rPr>
          <w:rFonts w:ascii="Cambria" w:hAnsi="Cambria"/>
          <w:sz w:val="16"/>
          <w:szCs w:val="16"/>
        </w:rPr>
        <w:t xml:space="preserve"> Available at:</w:t>
      </w:r>
      <w:r w:rsidRPr="00624D92">
        <w:t xml:space="preserve"> </w:t>
      </w:r>
      <w:hyperlink r:id="rId2" w:history="1">
        <w:r w:rsidRPr="00624D92">
          <w:rPr>
            <w:rStyle w:val="Hyperlink"/>
            <w:rFonts w:ascii="Cambria" w:hAnsi="Cambria"/>
            <w:sz w:val="16"/>
            <w:szCs w:val="16"/>
          </w:rPr>
          <w:t>https://www.oas.org/en/iachr/decisions/2022/ARSA_13.869_EN.PDF</w:t>
        </w:r>
      </w:hyperlink>
      <w:r w:rsidRPr="00C869E0">
        <w:rPr>
          <w:rFonts w:ascii="Cambria" w:hAnsi="Cambria"/>
          <w:sz w:val="16"/>
          <w:szCs w:val="16"/>
        </w:rPr>
        <w:t xml:space="preserve"> </w:t>
      </w:r>
    </w:p>
  </w:footnote>
  <w:footnote w:id="3">
    <w:p w14:paraId="5E55D9F7" w14:textId="59371F7C" w:rsidR="003E6F57" w:rsidRPr="007175E2" w:rsidRDefault="003E6F57" w:rsidP="007175E2">
      <w:pPr>
        <w:pStyle w:val="FootnoteText"/>
        <w:ind w:firstLine="709"/>
        <w:jc w:val="both"/>
        <w:rPr>
          <w:rFonts w:ascii="Cambria" w:hAnsi="Cambria"/>
          <w:color w:val="000000" w:themeColor="text1"/>
          <w:sz w:val="16"/>
          <w:szCs w:val="16"/>
        </w:rPr>
      </w:pPr>
      <w:r w:rsidRPr="00624D92">
        <w:rPr>
          <w:rFonts w:ascii="Cambria" w:hAnsi="Cambria"/>
          <w:color w:val="000000"/>
          <w:sz w:val="16"/>
          <w:szCs w:val="16"/>
          <w:vertAlign w:val="superscript"/>
        </w:rPr>
        <w:footnoteRef/>
      </w:r>
      <w:r w:rsidRPr="00624D92">
        <w:rPr>
          <w:rFonts w:ascii="Cambria" w:hAnsi="Cambria"/>
          <w:color w:val="000000"/>
          <w:sz w:val="16"/>
          <w:szCs w:val="16"/>
        </w:rPr>
        <w:t xml:space="preserve"> </w:t>
      </w:r>
      <w:r w:rsidR="00F51847" w:rsidRPr="00624D92">
        <w:rPr>
          <w:rFonts w:ascii="Cambria" w:hAnsi="Cambria"/>
          <w:sz w:val="16"/>
          <w:szCs w:val="16"/>
        </w:rPr>
        <w:t xml:space="preserve">See IACHR, </w:t>
      </w:r>
      <w:r w:rsidR="00F51847" w:rsidRPr="00624D92">
        <w:rPr>
          <w:rFonts w:ascii="Cambria" w:hAnsi="Cambria"/>
          <w:i/>
          <w:iCs/>
          <w:sz w:val="16"/>
          <w:szCs w:val="16"/>
        </w:rPr>
        <w:t>Annual Report 2023</w:t>
      </w:r>
      <w:r w:rsidR="00F51847" w:rsidRPr="00624D92">
        <w:rPr>
          <w:rFonts w:ascii="Cambria" w:hAnsi="Cambria"/>
          <w:sz w:val="16"/>
          <w:szCs w:val="16"/>
        </w:rPr>
        <w:t xml:space="preserve">, Chapter II, Section C. Advances and regressions on negotiation and Implementation of Friendly Settlement Agreements. Available </w:t>
      </w:r>
      <w:r w:rsidR="00E22135" w:rsidRPr="00624D92">
        <w:rPr>
          <w:rFonts w:ascii="Cambria" w:hAnsi="Cambria"/>
          <w:sz w:val="16"/>
          <w:szCs w:val="16"/>
        </w:rPr>
        <w:t>at</w:t>
      </w:r>
      <w:r w:rsidR="00F51847" w:rsidRPr="00624D92">
        <w:rPr>
          <w:rFonts w:ascii="Cambria" w:hAnsi="Cambria"/>
          <w:sz w:val="16"/>
          <w:szCs w:val="16"/>
        </w:rPr>
        <w:t>:</w:t>
      </w:r>
      <w:r w:rsidR="00C869E0" w:rsidRPr="00C869E0">
        <w:rPr>
          <w:rFonts w:ascii="Cambria" w:hAnsi="Cambria"/>
          <w:sz w:val="16"/>
          <w:szCs w:val="16"/>
        </w:rPr>
        <w:t xml:space="preserve"> </w:t>
      </w:r>
      <w:hyperlink r:id="rId3" w:history="1">
        <w:r w:rsidR="00C869E0" w:rsidRPr="00C869E0">
          <w:rPr>
            <w:rStyle w:val="Hyperlink"/>
            <w:rFonts w:ascii="Cambria" w:hAnsi="Cambria"/>
            <w:sz w:val="16"/>
            <w:szCs w:val="16"/>
          </w:rPr>
          <w:t>https://www.oas.org/en/iachr/docs/annual/2023/chapters/IA2023_Cap_2_ENG.PDF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F101B" w14:textId="77777777" w:rsidR="00A343FF" w:rsidRDefault="00AB253B" w:rsidP="00DC7C8F">
    <w:pPr>
      <w:pStyle w:val="Header"/>
      <w:jc w:val="center"/>
    </w:pPr>
    <w:r>
      <w:rPr>
        <w:noProof/>
      </w:rPr>
      <w:drawing>
        <wp:inline distT="0" distB="0" distL="0" distR="0" wp14:anchorId="12DE2D16" wp14:editId="70746368">
          <wp:extent cx="2271395" cy="118110"/>
          <wp:effectExtent l="0" t="0" r="0" b="0"/>
          <wp:docPr id="4"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1395" cy="118110"/>
                  </a:xfrm>
                  <a:prstGeom prst="rect">
                    <a:avLst/>
                  </a:prstGeom>
                  <a:noFill/>
                  <a:ln>
                    <a:noFill/>
                  </a:ln>
                </pic:spPr>
              </pic:pic>
            </a:graphicData>
          </a:graphic>
        </wp:inline>
      </w:drawing>
    </w:r>
  </w:p>
  <w:p w14:paraId="54B9C190" w14:textId="77777777" w:rsidR="00A343FF" w:rsidRDefault="00C757BE">
    <w:pPr>
      <w:pStyle w:val="Header"/>
    </w:pPr>
    <w:r>
      <w:rPr>
        <w:noProof/>
      </w:rPr>
      <w:pict w14:anchorId="3C167262">
        <v:rect id="_x0000_i1025" alt="" style="width:441.9pt;height:.05pt;mso-width-percent:0;mso-height-percent:0;mso-width-percent:0;mso-height-percent:0"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9FB95" w14:textId="77777777" w:rsidR="00A61B5E" w:rsidRDefault="00AB253B" w:rsidP="00A61B5E">
    <w:pPr>
      <w:pStyle w:val="Header"/>
    </w:pPr>
    <w:r>
      <w:rPr>
        <w:noProof/>
      </w:rPr>
      <w:drawing>
        <wp:anchor distT="0" distB="0" distL="114300" distR="114300" simplePos="0" relativeHeight="251656192" behindDoc="1" locked="0" layoutInCell="1" allowOverlap="1" wp14:anchorId="59FE738C" wp14:editId="11A3A48B">
          <wp:simplePos x="0" y="0"/>
          <wp:positionH relativeFrom="column">
            <wp:posOffset>0</wp:posOffset>
          </wp:positionH>
          <wp:positionV relativeFrom="paragraph">
            <wp:posOffset>-28575</wp:posOffset>
          </wp:positionV>
          <wp:extent cx="2567940" cy="495300"/>
          <wp:effectExtent l="0" t="0" r="0" b="0"/>
          <wp:wrapThrough wrapText="bothSides">
            <wp:wrapPolygon edited="0">
              <wp:start x="0" y="0"/>
              <wp:lineTo x="0" y="21046"/>
              <wp:lineTo x="21472" y="21046"/>
              <wp:lineTo x="21472" y="0"/>
              <wp:lineTo x="0" y="0"/>
            </wp:wrapPolygon>
          </wp:wrapThrough>
          <wp:docPr id="7"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794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4DEC2470" wp14:editId="773EC283">
          <wp:simplePos x="0" y="0"/>
          <wp:positionH relativeFrom="column">
            <wp:posOffset>4019550</wp:posOffset>
          </wp:positionH>
          <wp:positionV relativeFrom="paragraph">
            <wp:posOffset>-34290</wp:posOffset>
          </wp:positionV>
          <wp:extent cx="1924050" cy="499110"/>
          <wp:effectExtent l="0" t="0" r="0" b="0"/>
          <wp:wrapThrough wrapText="bothSides">
            <wp:wrapPolygon edited="0">
              <wp:start x="1711" y="0"/>
              <wp:lineTo x="0" y="3298"/>
              <wp:lineTo x="0" y="14290"/>
              <wp:lineTo x="428" y="18137"/>
              <wp:lineTo x="1568" y="20885"/>
              <wp:lineTo x="1711" y="20885"/>
              <wp:lineTo x="3850" y="20885"/>
              <wp:lineTo x="3992" y="20885"/>
              <wp:lineTo x="5133" y="17588"/>
              <wp:lineTo x="21529" y="17588"/>
              <wp:lineTo x="21529" y="11542"/>
              <wp:lineTo x="20103" y="8794"/>
              <wp:lineTo x="20388" y="5496"/>
              <wp:lineTo x="18962" y="4397"/>
              <wp:lineTo x="3707" y="0"/>
              <wp:lineTo x="1711" y="0"/>
            </wp:wrapPolygon>
          </wp:wrapThrough>
          <wp:docPr id="6"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4050" cy="499110"/>
                  </a:xfrm>
                  <a:prstGeom prst="rect">
                    <a:avLst/>
                  </a:prstGeom>
                  <a:noFill/>
                  <a:ln>
                    <a:noFill/>
                  </a:ln>
                </pic:spPr>
              </pic:pic>
            </a:graphicData>
          </a:graphic>
          <wp14:sizeRelH relativeFrom="page">
            <wp14:pctWidth>0</wp14:pctWidth>
          </wp14:sizeRelH>
          <wp14:sizeRelV relativeFrom="page">
            <wp14:pctHeight>0</wp14:pctHeight>
          </wp14:sizeRelV>
        </wp:anchor>
      </w:drawing>
    </w:r>
    <w:r w:rsidR="00A61B5E">
      <w:tab/>
    </w:r>
    <w:r w:rsidR="00A61B5E">
      <w:tab/>
    </w:r>
  </w:p>
  <w:p w14:paraId="16B56DFB" w14:textId="77777777" w:rsidR="00F53B51" w:rsidRDefault="00F53B51" w:rsidP="00A61B5E">
    <w:pPr>
      <w:pStyle w:val="Header"/>
    </w:pPr>
  </w:p>
  <w:p w14:paraId="4948EA69" w14:textId="77777777" w:rsidR="00F53B51" w:rsidRDefault="00F53B51" w:rsidP="00A61B5E">
    <w:pPr>
      <w:pStyle w:val="Header"/>
    </w:pPr>
  </w:p>
  <w:p w14:paraId="0D5588C7" w14:textId="77777777" w:rsidR="00A61B5E" w:rsidRDefault="00C757BE" w:rsidP="00A61B5E">
    <w:pPr>
      <w:pStyle w:val="Header"/>
    </w:pPr>
    <w:r>
      <w:rPr>
        <w:noProof/>
      </w:rPr>
      <w:pict w14:anchorId="3DB91606">
        <v:rect id="_x0000_i1026" alt="" style="width:441.9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67BDB"/>
    <w:multiLevelType w:val="hybridMultilevel"/>
    <w:tmpl w:val="61D47DB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6C30BBE"/>
    <w:multiLevelType w:val="hybridMultilevel"/>
    <w:tmpl w:val="BBF0671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B45238"/>
    <w:multiLevelType w:val="hybridMultilevel"/>
    <w:tmpl w:val="E132C0D0"/>
    <w:lvl w:ilvl="0" w:tplc="65526156">
      <w:start w:val="1"/>
      <w:numFmt w:val="bullet"/>
      <w:lvlText w:val=""/>
      <w:lvlJc w:val="left"/>
      <w:pPr>
        <w:ind w:left="1530" w:hanging="360"/>
      </w:pPr>
      <w:rPr>
        <w:rFonts w:ascii="Symbol" w:hAnsi="Symbol" w:hint="default"/>
        <w:color w:val="000000"/>
        <w:sz w:val="20"/>
        <w:szCs w:val="20"/>
      </w:rPr>
    </w:lvl>
    <w:lvl w:ilvl="1" w:tplc="0C0A0003">
      <w:start w:val="1"/>
      <w:numFmt w:val="bullet"/>
      <w:lvlText w:val="o"/>
      <w:lvlJc w:val="left"/>
      <w:pPr>
        <w:ind w:left="2250" w:hanging="360"/>
      </w:pPr>
      <w:rPr>
        <w:rFonts w:ascii="Courier New" w:hAnsi="Courier New" w:cs="Courier New" w:hint="default"/>
      </w:rPr>
    </w:lvl>
    <w:lvl w:ilvl="2" w:tplc="0C0A0005" w:tentative="1">
      <w:start w:val="1"/>
      <w:numFmt w:val="bullet"/>
      <w:lvlText w:val=""/>
      <w:lvlJc w:val="left"/>
      <w:pPr>
        <w:ind w:left="2970" w:hanging="360"/>
      </w:pPr>
      <w:rPr>
        <w:rFonts w:ascii="Wingdings" w:hAnsi="Wingdings" w:hint="default"/>
      </w:rPr>
    </w:lvl>
    <w:lvl w:ilvl="3" w:tplc="0C0A0001" w:tentative="1">
      <w:start w:val="1"/>
      <w:numFmt w:val="bullet"/>
      <w:lvlText w:val=""/>
      <w:lvlJc w:val="left"/>
      <w:pPr>
        <w:ind w:left="3690" w:hanging="360"/>
      </w:pPr>
      <w:rPr>
        <w:rFonts w:ascii="Symbol" w:hAnsi="Symbol" w:hint="default"/>
      </w:rPr>
    </w:lvl>
    <w:lvl w:ilvl="4" w:tplc="0C0A0003" w:tentative="1">
      <w:start w:val="1"/>
      <w:numFmt w:val="bullet"/>
      <w:lvlText w:val="o"/>
      <w:lvlJc w:val="left"/>
      <w:pPr>
        <w:ind w:left="4410" w:hanging="360"/>
      </w:pPr>
      <w:rPr>
        <w:rFonts w:ascii="Courier New" w:hAnsi="Courier New" w:cs="Courier New" w:hint="default"/>
      </w:rPr>
    </w:lvl>
    <w:lvl w:ilvl="5" w:tplc="0C0A0005" w:tentative="1">
      <w:start w:val="1"/>
      <w:numFmt w:val="bullet"/>
      <w:lvlText w:val=""/>
      <w:lvlJc w:val="left"/>
      <w:pPr>
        <w:ind w:left="5130" w:hanging="360"/>
      </w:pPr>
      <w:rPr>
        <w:rFonts w:ascii="Wingdings" w:hAnsi="Wingdings" w:hint="default"/>
      </w:rPr>
    </w:lvl>
    <w:lvl w:ilvl="6" w:tplc="0C0A0001" w:tentative="1">
      <w:start w:val="1"/>
      <w:numFmt w:val="bullet"/>
      <w:lvlText w:val=""/>
      <w:lvlJc w:val="left"/>
      <w:pPr>
        <w:ind w:left="5850" w:hanging="360"/>
      </w:pPr>
      <w:rPr>
        <w:rFonts w:ascii="Symbol" w:hAnsi="Symbol" w:hint="default"/>
      </w:rPr>
    </w:lvl>
    <w:lvl w:ilvl="7" w:tplc="0C0A0003" w:tentative="1">
      <w:start w:val="1"/>
      <w:numFmt w:val="bullet"/>
      <w:lvlText w:val="o"/>
      <w:lvlJc w:val="left"/>
      <w:pPr>
        <w:ind w:left="6570" w:hanging="360"/>
      </w:pPr>
      <w:rPr>
        <w:rFonts w:ascii="Courier New" w:hAnsi="Courier New" w:cs="Courier New" w:hint="default"/>
      </w:rPr>
    </w:lvl>
    <w:lvl w:ilvl="8" w:tplc="0C0A0005" w:tentative="1">
      <w:start w:val="1"/>
      <w:numFmt w:val="bullet"/>
      <w:lvlText w:val=""/>
      <w:lvlJc w:val="left"/>
      <w:pPr>
        <w:ind w:left="7290" w:hanging="360"/>
      </w:pPr>
      <w:rPr>
        <w:rFonts w:ascii="Wingdings" w:hAnsi="Wingdings" w:hint="default"/>
      </w:rPr>
    </w:lvl>
  </w:abstractNum>
  <w:abstractNum w:abstractNumId="3" w15:restartNumberingAfterBreak="0">
    <w:nsid w:val="13E57989"/>
    <w:multiLevelType w:val="hybridMultilevel"/>
    <w:tmpl w:val="4E486E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67C4600"/>
    <w:multiLevelType w:val="multilevel"/>
    <w:tmpl w:val="4E824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4236A5"/>
    <w:multiLevelType w:val="hybridMultilevel"/>
    <w:tmpl w:val="2F82DD5C"/>
    <w:lvl w:ilvl="0" w:tplc="4C7ECB12">
      <w:start w:val="1"/>
      <w:numFmt w:val="decimal"/>
      <w:lvlText w:val="%1)"/>
      <w:lvlJc w:val="left"/>
      <w:pPr>
        <w:ind w:left="720" w:hanging="360"/>
      </w:pPr>
      <w:rPr>
        <w:rFonts w:eastAsia="MS Mincho"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0D445F"/>
    <w:multiLevelType w:val="hybridMultilevel"/>
    <w:tmpl w:val="4D32D53E"/>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7C14DC"/>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8312A9F"/>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837127D"/>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85B60A1"/>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8B27913"/>
    <w:multiLevelType w:val="hybridMultilevel"/>
    <w:tmpl w:val="D33EA58C"/>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333480"/>
    <w:multiLevelType w:val="hybridMultilevel"/>
    <w:tmpl w:val="52D07F1C"/>
    <w:lvl w:ilvl="0" w:tplc="FFFFFFFF">
      <w:start w:val="1"/>
      <w:numFmt w:val="upperRoman"/>
      <w:lvlText w:val="%1."/>
      <w:lvlJc w:val="left"/>
      <w:pPr>
        <w:ind w:left="1890" w:hanging="72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C352DCD4">
      <w:start w:val="1"/>
      <w:numFmt w:val="decimal"/>
      <w:lvlText w:val="%4."/>
      <w:lvlJc w:val="left"/>
      <w:pPr>
        <w:ind w:left="2880" w:hanging="360"/>
      </w:pPr>
      <w:rPr>
        <w:b w:val="0"/>
        <w:bCs/>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2BCA2B85"/>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C2833C9"/>
    <w:multiLevelType w:val="hybridMultilevel"/>
    <w:tmpl w:val="1E680606"/>
    <w:lvl w:ilvl="0" w:tplc="8BD876CA">
      <w:start w:val="1"/>
      <w:numFmt w:val="bullet"/>
      <w:lvlText w:val=""/>
      <w:lvlJc w:val="left"/>
      <w:pPr>
        <w:ind w:left="1440" w:hanging="360"/>
      </w:pPr>
      <w:rPr>
        <w:rFonts w:ascii="Symbol" w:hAnsi="Symbol" w:hint="default"/>
        <w:lang w:val="en-U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CC005EC"/>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EEE2BBA"/>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1276FA0"/>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7CD7804"/>
    <w:multiLevelType w:val="hybridMultilevel"/>
    <w:tmpl w:val="084A5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4D22AE"/>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21F5CCD"/>
    <w:multiLevelType w:val="hybridMultilevel"/>
    <w:tmpl w:val="842AE3C4"/>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49302B1"/>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5422B71"/>
    <w:multiLevelType w:val="hybridMultilevel"/>
    <w:tmpl w:val="BD1ED690"/>
    <w:lvl w:ilvl="0" w:tplc="FFFFFFFF">
      <w:start w:val="1"/>
      <w:numFmt w:val="upp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3" w15:restartNumberingAfterBreak="0">
    <w:nsid w:val="46253A63"/>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8EB2B1D"/>
    <w:multiLevelType w:val="hybridMultilevel"/>
    <w:tmpl w:val="251AB04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15:restartNumberingAfterBreak="0">
    <w:nsid w:val="502F62E1"/>
    <w:multiLevelType w:val="multilevel"/>
    <w:tmpl w:val="52D07F1C"/>
    <w:styleLink w:val="CurrentList1"/>
    <w:lvl w:ilvl="0">
      <w:start w:val="1"/>
      <w:numFmt w:val="upperRoman"/>
      <w:lvlText w:val="%1."/>
      <w:lvlJc w:val="left"/>
      <w:pPr>
        <w:ind w:left="189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112EDA"/>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284574F"/>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3E961B8"/>
    <w:multiLevelType w:val="hybridMultilevel"/>
    <w:tmpl w:val="6C02FA7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55252B23"/>
    <w:multiLevelType w:val="hybridMultilevel"/>
    <w:tmpl w:val="5262080E"/>
    <w:lvl w:ilvl="0" w:tplc="42D8C1E4">
      <w:start w:val="1"/>
      <w:numFmt w:val="decimal"/>
      <w:lvlText w:val="%1."/>
      <w:lvlJc w:val="left"/>
      <w:pPr>
        <w:ind w:left="1080" w:hanging="360"/>
      </w:pPr>
      <w:rPr>
        <w:rFonts w:ascii="Cambria" w:hAnsi="Cambria" w:hint="default"/>
        <w:b w:val="0"/>
        <w:bCs/>
        <w:sz w:val="22"/>
        <w:szCs w:val="22"/>
      </w:rPr>
    </w:lvl>
    <w:lvl w:ilvl="1" w:tplc="2C0A0019">
      <w:start w:val="1"/>
      <w:numFmt w:val="lowerLetter"/>
      <w:lvlText w:val="%2."/>
      <w:lvlJc w:val="left"/>
      <w:pPr>
        <w:ind w:left="1800" w:hanging="360"/>
      </w:pPr>
    </w:lvl>
    <w:lvl w:ilvl="2" w:tplc="2C0A001B">
      <w:start w:val="1"/>
      <w:numFmt w:val="lowerRoman"/>
      <w:lvlText w:val="%3."/>
      <w:lvlJc w:val="right"/>
      <w:pPr>
        <w:ind w:left="2520" w:hanging="180"/>
      </w:pPr>
    </w:lvl>
    <w:lvl w:ilvl="3" w:tplc="4B9C0506">
      <w:start w:val="1"/>
      <w:numFmt w:val="decimal"/>
      <w:lvlText w:val="%4."/>
      <w:lvlJc w:val="left"/>
      <w:pPr>
        <w:ind w:left="3240" w:hanging="360"/>
      </w:pPr>
      <w:rPr>
        <w:b w:val="0"/>
        <w:bCs/>
      </w:rPr>
    </w:lvl>
    <w:lvl w:ilvl="4" w:tplc="2C0A0019">
      <w:start w:val="1"/>
      <w:numFmt w:val="lowerLetter"/>
      <w:lvlText w:val="%5."/>
      <w:lvlJc w:val="left"/>
      <w:pPr>
        <w:ind w:left="3960" w:hanging="360"/>
      </w:pPr>
    </w:lvl>
    <w:lvl w:ilvl="5" w:tplc="2C0A001B">
      <w:start w:val="1"/>
      <w:numFmt w:val="lowerRoman"/>
      <w:lvlText w:val="%6."/>
      <w:lvlJc w:val="right"/>
      <w:pPr>
        <w:ind w:left="4680" w:hanging="180"/>
      </w:pPr>
    </w:lvl>
    <w:lvl w:ilvl="6" w:tplc="64F4750E">
      <w:start w:val="1"/>
      <w:numFmt w:val="decimal"/>
      <w:lvlText w:val="%7."/>
      <w:lvlJc w:val="left"/>
      <w:pPr>
        <w:ind w:left="5400" w:hanging="360"/>
      </w:pPr>
      <w:rPr>
        <w:b w:val="0"/>
        <w:bCs/>
      </w:rPr>
    </w:lvl>
    <w:lvl w:ilvl="7" w:tplc="2C0A0019">
      <w:start w:val="1"/>
      <w:numFmt w:val="lowerLetter"/>
      <w:lvlText w:val="%8."/>
      <w:lvlJc w:val="left"/>
      <w:pPr>
        <w:ind w:left="6120" w:hanging="360"/>
      </w:pPr>
    </w:lvl>
    <w:lvl w:ilvl="8" w:tplc="2C0A001B">
      <w:start w:val="1"/>
      <w:numFmt w:val="lowerRoman"/>
      <w:lvlText w:val="%9."/>
      <w:lvlJc w:val="right"/>
      <w:pPr>
        <w:ind w:left="6840" w:hanging="180"/>
      </w:pPr>
    </w:lvl>
  </w:abstractNum>
  <w:abstractNum w:abstractNumId="30" w15:restartNumberingAfterBreak="0">
    <w:nsid w:val="5C1A141F"/>
    <w:multiLevelType w:val="hybridMultilevel"/>
    <w:tmpl w:val="BBF067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A5433B"/>
    <w:multiLevelType w:val="hybridMultilevel"/>
    <w:tmpl w:val="BBF42C0A"/>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2" w15:restartNumberingAfterBreak="0">
    <w:nsid w:val="6DE83646"/>
    <w:multiLevelType w:val="hybridMultilevel"/>
    <w:tmpl w:val="AB56968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3" w15:restartNumberingAfterBreak="0">
    <w:nsid w:val="7437226A"/>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4374125"/>
    <w:multiLevelType w:val="hybridMultilevel"/>
    <w:tmpl w:val="BD1ED690"/>
    <w:lvl w:ilvl="0" w:tplc="0C0A0015">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5" w15:restartNumberingAfterBreak="0">
    <w:nsid w:val="7777634B"/>
    <w:multiLevelType w:val="hybridMultilevel"/>
    <w:tmpl w:val="BBF0671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B413E71"/>
    <w:multiLevelType w:val="hybridMultilevel"/>
    <w:tmpl w:val="639CBA1A"/>
    <w:lvl w:ilvl="0" w:tplc="17E875D0">
      <w:start w:val="2"/>
      <w:numFmt w:val="decimal"/>
      <w:lvlText w:val="%1."/>
      <w:lvlJc w:val="left"/>
      <w:pPr>
        <w:ind w:left="1440" w:hanging="360"/>
      </w:pPr>
      <w:rPr>
        <w:rFonts w:hint="default"/>
        <w:b w:val="0"/>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7" w15:restartNumberingAfterBreak="0">
    <w:nsid w:val="7BE974E9"/>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D4E5D74"/>
    <w:multiLevelType w:val="hybridMultilevel"/>
    <w:tmpl w:val="E530F43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9" w15:restartNumberingAfterBreak="0">
    <w:nsid w:val="7D5B68B4"/>
    <w:multiLevelType w:val="hybridMultilevel"/>
    <w:tmpl w:val="660A1088"/>
    <w:lvl w:ilvl="0" w:tplc="13EC8CA0">
      <w:start w:val="1"/>
      <w:numFmt w:val="lowerLetter"/>
      <w:lvlText w:val="%1)"/>
      <w:lvlJc w:val="left"/>
      <w:pPr>
        <w:ind w:left="720" w:hanging="360"/>
      </w:pPr>
      <w:rPr>
        <w:rFonts w:eastAsia="Batang" w:cs="Calibri Light"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EC35B0D"/>
    <w:multiLevelType w:val="hybridMultilevel"/>
    <w:tmpl w:val="BD1ED690"/>
    <w:lvl w:ilvl="0" w:tplc="FFFFFFFF">
      <w:start w:val="1"/>
      <w:numFmt w:val="upp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16cid:durableId="533809320">
    <w:abstractNumId w:val="11"/>
  </w:num>
  <w:num w:numId="2" w16cid:durableId="453600156">
    <w:abstractNumId w:val="30"/>
  </w:num>
  <w:num w:numId="3" w16cid:durableId="897327684">
    <w:abstractNumId w:val="18"/>
  </w:num>
  <w:num w:numId="4" w16cid:durableId="1141650489">
    <w:abstractNumId w:val="29"/>
  </w:num>
  <w:num w:numId="5" w16cid:durableId="746342540">
    <w:abstractNumId w:val="13"/>
  </w:num>
  <w:num w:numId="6" w16cid:durableId="1621692518">
    <w:abstractNumId w:val="6"/>
  </w:num>
  <w:num w:numId="7" w16cid:durableId="971790784">
    <w:abstractNumId w:val="1"/>
  </w:num>
  <w:num w:numId="8" w16cid:durableId="1387029646">
    <w:abstractNumId w:val="36"/>
  </w:num>
  <w:num w:numId="9" w16cid:durableId="1086881292">
    <w:abstractNumId w:val="7"/>
  </w:num>
  <w:num w:numId="10" w16cid:durableId="1292322756">
    <w:abstractNumId w:val="12"/>
  </w:num>
  <w:num w:numId="11" w16cid:durableId="1000500350">
    <w:abstractNumId w:val="2"/>
  </w:num>
  <w:num w:numId="12" w16cid:durableId="1706103099">
    <w:abstractNumId w:val="35"/>
  </w:num>
  <w:num w:numId="13" w16cid:durableId="1756710271">
    <w:abstractNumId w:val="20"/>
  </w:num>
  <w:num w:numId="14" w16cid:durableId="1099252676">
    <w:abstractNumId w:val="39"/>
  </w:num>
  <w:num w:numId="15" w16cid:durableId="1030109151">
    <w:abstractNumId w:val="16"/>
  </w:num>
  <w:num w:numId="16" w16cid:durableId="1722748191">
    <w:abstractNumId w:val="15"/>
  </w:num>
  <w:num w:numId="17" w16cid:durableId="351491452">
    <w:abstractNumId w:val="28"/>
  </w:num>
  <w:num w:numId="18" w16cid:durableId="1027633537">
    <w:abstractNumId w:val="9"/>
  </w:num>
  <w:num w:numId="19" w16cid:durableId="457845413">
    <w:abstractNumId w:val="26"/>
  </w:num>
  <w:num w:numId="20" w16cid:durableId="12115720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98907281">
    <w:abstractNumId w:val="19"/>
  </w:num>
  <w:num w:numId="22" w16cid:durableId="2003926928">
    <w:abstractNumId w:val="10"/>
  </w:num>
  <w:num w:numId="23" w16cid:durableId="1497725357">
    <w:abstractNumId w:val="21"/>
  </w:num>
  <w:num w:numId="24" w16cid:durableId="307248652">
    <w:abstractNumId w:val="23"/>
  </w:num>
  <w:num w:numId="25" w16cid:durableId="1985550389">
    <w:abstractNumId w:val="5"/>
  </w:num>
  <w:num w:numId="26" w16cid:durableId="1478456909">
    <w:abstractNumId w:val="8"/>
  </w:num>
  <w:num w:numId="27" w16cid:durableId="1176925587">
    <w:abstractNumId w:val="3"/>
  </w:num>
  <w:num w:numId="28" w16cid:durableId="1876766616">
    <w:abstractNumId w:val="37"/>
  </w:num>
  <w:num w:numId="29" w16cid:durableId="2142572164">
    <w:abstractNumId w:val="34"/>
  </w:num>
  <w:num w:numId="30" w16cid:durableId="571933528">
    <w:abstractNumId w:val="32"/>
  </w:num>
  <w:num w:numId="31" w16cid:durableId="1861430946">
    <w:abstractNumId w:val="14"/>
  </w:num>
  <w:num w:numId="32" w16cid:durableId="803893092">
    <w:abstractNumId w:val="17"/>
  </w:num>
  <w:num w:numId="33" w16cid:durableId="1739936026">
    <w:abstractNumId w:val="4"/>
  </w:num>
  <w:num w:numId="34" w16cid:durableId="1458915668">
    <w:abstractNumId w:val="31"/>
  </w:num>
  <w:num w:numId="35" w16cid:durableId="1599485303">
    <w:abstractNumId w:val="40"/>
  </w:num>
  <w:num w:numId="36" w16cid:durableId="1664964272">
    <w:abstractNumId w:val="38"/>
  </w:num>
  <w:num w:numId="37" w16cid:durableId="2074966919">
    <w:abstractNumId w:val="33"/>
  </w:num>
  <w:num w:numId="38" w16cid:durableId="20934263">
    <w:abstractNumId w:val="22"/>
  </w:num>
  <w:num w:numId="39" w16cid:durableId="195656616">
    <w:abstractNumId w:val="25"/>
  </w:num>
  <w:num w:numId="40" w16cid:durableId="1217354964">
    <w:abstractNumId w:val="27"/>
  </w:num>
  <w:num w:numId="41" w16cid:durableId="1501653071">
    <w:abstractNumId w:val="2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2B6"/>
    <w:rsid w:val="000161DA"/>
    <w:rsid w:val="000244BA"/>
    <w:rsid w:val="00047B56"/>
    <w:rsid w:val="00054EA0"/>
    <w:rsid w:val="00062031"/>
    <w:rsid w:val="0006625E"/>
    <w:rsid w:val="000667A7"/>
    <w:rsid w:val="00074D00"/>
    <w:rsid w:val="00096079"/>
    <w:rsid w:val="000B3203"/>
    <w:rsid w:val="000B3318"/>
    <w:rsid w:val="000C7449"/>
    <w:rsid w:val="000D32B6"/>
    <w:rsid w:val="000D6F2C"/>
    <w:rsid w:val="001011E0"/>
    <w:rsid w:val="00101E3E"/>
    <w:rsid w:val="00112395"/>
    <w:rsid w:val="0012326D"/>
    <w:rsid w:val="0012586C"/>
    <w:rsid w:val="00127F17"/>
    <w:rsid w:val="001511FD"/>
    <w:rsid w:val="001541D4"/>
    <w:rsid w:val="00162518"/>
    <w:rsid w:val="001834F6"/>
    <w:rsid w:val="001C516B"/>
    <w:rsid w:val="001E1876"/>
    <w:rsid w:val="001E3F4C"/>
    <w:rsid w:val="00206E68"/>
    <w:rsid w:val="00215215"/>
    <w:rsid w:val="0021669C"/>
    <w:rsid w:val="00226F48"/>
    <w:rsid w:val="00236411"/>
    <w:rsid w:val="00240E8E"/>
    <w:rsid w:val="002547E7"/>
    <w:rsid w:val="00260836"/>
    <w:rsid w:val="00277604"/>
    <w:rsid w:val="002859A9"/>
    <w:rsid w:val="0028604F"/>
    <w:rsid w:val="00292B52"/>
    <w:rsid w:val="00294A83"/>
    <w:rsid w:val="00294B17"/>
    <w:rsid w:val="002A39B2"/>
    <w:rsid w:val="002D075B"/>
    <w:rsid w:val="002D40CD"/>
    <w:rsid w:val="002E4FBC"/>
    <w:rsid w:val="002F156A"/>
    <w:rsid w:val="00312B7A"/>
    <w:rsid w:val="00324C1A"/>
    <w:rsid w:val="00335042"/>
    <w:rsid w:val="00336E78"/>
    <w:rsid w:val="003419CC"/>
    <w:rsid w:val="00343CED"/>
    <w:rsid w:val="0036283E"/>
    <w:rsid w:val="00371855"/>
    <w:rsid w:val="00385F0C"/>
    <w:rsid w:val="0039045F"/>
    <w:rsid w:val="00393310"/>
    <w:rsid w:val="00394EEF"/>
    <w:rsid w:val="003C4836"/>
    <w:rsid w:val="003E4C2F"/>
    <w:rsid w:val="003E533F"/>
    <w:rsid w:val="003E6F57"/>
    <w:rsid w:val="003F3C6B"/>
    <w:rsid w:val="00402700"/>
    <w:rsid w:val="00417964"/>
    <w:rsid w:val="00420BB1"/>
    <w:rsid w:val="0043583A"/>
    <w:rsid w:val="004545D1"/>
    <w:rsid w:val="00457BAB"/>
    <w:rsid w:val="00462B02"/>
    <w:rsid w:val="00470C7B"/>
    <w:rsid w:val="0047146A"/>
    <w:rsid w:val="004722BC"/>
    <w:rsid w:val="00472E04"/>
    <w:rsid w:val="0047567D"/>
    <w:rsid w:val="00477BF2"/>
    <w:rsid w:val="004B3074"/>
    <w:rsid w:val="004B7CA6"/>
    <w:rsid w:val="004C6CCF"/>
    <w:rsid w:val="004C7C99"/>
    <w:rsid w:val="004F5CA9"/>
    <w:rsid w:val="004F5F70"/>
    <w:rsid w:val="00504855"/>
    <w:rsid w:val="005145CC"/>
    <w:rsid w:val="005205B9"/>
    <w:rsid w:val="00534F2B"/>
    <w:rsid w:val="005566F5"/>
    <w:rsid w:val="005829B9"/>
    <w:rsid w:val="00594A1B"/>
    <w:rsid w:val="005A328E"/>
    <w:rsid w:val="005A49FD"/>
    <w:rsid w:val="005A4D20"/>
    <w:rsid w:val="005A5AE8"/>
    <w:rsid w:val="005A5E14"/>
    <w:rsid w:val="005B2E65"/>
    <w:rsid w:val="005C2637"/>
    <w:rsid w:val="005C414D"/>
    <w:rsid w:val="005D7F05"/>
    <w:rsid w:val="005E3720"/>
    <w:rsid w:val="005E4B03"/>
    <w:rsid w:val="005F171A"/>
    <w:rsid w:val="005F4AAA"/>
    <w:rsid w:val="0060081A"/>
    <w:rsid w:val="00604132"/>
    <w:rsid w:val="00624D92"/>
    <w:rsid w:val="00634F89"/>
    <w:rsid w:val="00637AFB"/>
    <w:rsid w:val="00655003"/>
    <w:rsid w:val="00660EF3"/>
    <w:rsid w:val="00663A76"/>
    <w:rsid w:val="0067152B"/>
    <w:rsid w:val="00672090"/>
    <w:rsid w:val="006C2941"/>
    <w:rsid w:val="006C2B06"/>
    <w:rsid w:val="006C7308"/>
    <w:rsid w:val="006E2BD8"/>
    <w:rsid w:val="006F0429"/>
    <w:rsid w:val="006F75AC"/>
    <w:rsid w:val="0070407B"/>
    <w:rsid w:val="00705E57"/>
    <w:rsid w:val="007175E2"/>
    <w:rsid w:val="00727940"/>
    <w:rsid w:val="00730193"/>
    <w:rsid w:val="0073227E"/>
    <w:rsid w:val="00732EA4"/>
    <w:rsid w:val="007377D4"/>
    <w:rsid w:val="007B0327"/>
    <w:rsid w:val="007B3452"/>
    <w:rsid w:val="007B3D07"/>
    <w:rsid w:val="007C2CC3"/>
    <w:rsid w:val="007C351D"/>
    <w:rsid w:val="007D4C18"/>
    <w:rsid w:val="007E463E"/>
    <w:rsid w:val="007F5F4E"/>
    <w:rsid w:val="007F61C2"/>
    <w:rsid w:val="00801509"/>
    <w:rsid w:val="00802867"/>
    <w:rsid w:val="00806082"/>
    <w:rsid w:val="00807BAA"/>
    <w:rsid w:val="008145AE"/>
    <w:rsid w:val="00817E0C"/>
    <w:rsid w:val="008338E4"/>
    <w:rsid w:val="00833BA8"/>
    <w:rsid w:val="0084037C"/>
    <w:rsid w:val="00846397"/>
    <w:rsid w:val="008521E0"/>
    <w:rsid w:val="00854914"/>
    <w:rsid w:val="008550EF"/>
    <w:rsid w:val="00893661"/>
    <w:rsid w:val="008A1CBE"/>
    <w:rsid w:val="008B1EA8"/>
    <w:rsid w:val="008B2A99"/>
    <w:rsid w:val="008B6DA8"/>
    <w:rsid w:val="008E42E1"/>
    <w:rsid w:val="008E751C"/>
    <w:rsid w:val="008F2248"/>
    <w:rsid w:val="009108A4"/>
    <w:rsid w:val="009162E7"/>
    <w:rsid w:val="00941BE5"/>
    <w:rsid w:val="009457D8"/>
    <w:rsid w:val="0096142F"/>
    <w:rsid w:val="0096419E"/>
    <w:rsid w:val="00994458"/>
    <w:rsid w:val="009949ED"/>
    <w:rsid w:val="009B1135"/>
    <w:rsid w:val="009B219C"/>
    <w:rsid w:val="009C227B"/>
    <w:rsid w:val="009C4D87"/>
    <w:rsid w:val="009C5BE9"/>
    <w:rsid w:val="009E73F0"/>
    <w:rsid w:val="009F66EA"/>
    <w:rsid w:val="00A2502C"/>
    <w:rsid w:val="00A25CA7"/>
    <w:rsid w:val="00A343FF"/>
    <w:rsid w:val="00A61B5E"/>
    <w:rsid w:val="00A678C3"/>
    <w:rsid w:val="00A70B4A"/>
    <w:rsid w:val="00A76705"/>
    <w:rsid w:val="00A7781B"/>
    <w:rsid w:val="00A860C7"/>
    <w:rsid w:val="00A8615E"/>
    <w:rsid w:val="00AA164D"/>
    <w:rsid w:val="00AB0F8C"/>
    <w:rsid w:val="00AB253B"/>
    <w:rsid w:val="00AC2C8E"/>
    <w:rsid w:val="00AE1B0F"/>
    <w:rsid w:val="00AF2D92"/>
    <w:rsid w:val="00B002D8"/>
    <w:rsid w:val="00B056D9"/>
    <w:rsid w:val="00B063D6"/>
    <w:rsid w:val="00B120EB"/>
    <w:rsid w:val="00B205A7"/>
    <w:rsid w:val="00B338C9"/>
    <w:rsid w:val="00B3732F"/>
    <w:rsid w:val="00B40F77"/>
    <w:rsid w:val="00B4343F"/>
    <w:rsid w:val="00B4672E"/>
    <w:rsid w:val="00B60889"/>
    <w:rsid w:val="00B674F5"/>
    <w:rsid w:val="00B74EA5"/>
    <w:rsid w:val="00B8008C"/>
    <w:rsid w:val="00B806AC"/>
    <w:rsid w:val="00B93993"/>
    <w:rsid w:val="00BA2B9F"/>
    <w:rsid w:val="00BB0A8F"/>
    <w:rsid w:val="00BC3854"/>
    <w:rsid w:val="00C03B37"/>
    <w:rsid w:val="00C17E67"/>
    <w:rsid w:val="00C17F04"/>
    <w:rsid w:val="00C2428C"/>
    <w:rsid w:val="00C30658"/>
    <w:rsid w:val="00C3260E"/>
    <w:rsid w:val="00C3445F"/>
    <w:rsid w:val="00C402CB"/>
    <w:rsid w:val="00C55E1C"/>
    <w:rsid w:val="00C56464"/>
    <w:rsid w:val="00C57947"/>
    <w:rsid w:val="00C757BE"/>
    <w:rsid w:val="00C76780"/>
    <w:rsid w:val="00C869E0"/>
    <w:rsid w:val="00CB6344"/>
    <w:rsid w:val="00CB7CD5"/>
    <w:rsid w:val="00CB7D17"/>
    <w:rsid w:val="00CC0731"/>
    <w:rsid w:val="00CC6DB2"/>
    <w:rsid w:val="00CD169F"/>
    <w:rsid w:val="00CD3C0B"/>
    <w:rsid w:val="00CE024B"/>
    <w:rsid w:val="00CE74B7"/>
    <w:rsid w:val="00CF54E1"/>
    <w:rsid w:val="00D048B2"/>
    <w:rsid w:val="00D05BCC"/>
    <w:rsid w:val="00D23C64"/>
    <w:rsid w:val="00D735C2"/>
    <w:rsid w:val="00D76EDC"/>
    <w:rsid w:val="00D91EBA"/>
    <w:rsid w:val="00D92745"/>
    <w:rsid w:val="00D93387"/>
    <w:rsid w:val="00D9413D"/>
    <w:rsid w:val="00DA7797"/>
    <w:rsid w:val="00DC5A37"/>
    <w:rsid w:val="00DC7C8F"/>
    <w:rsid w:val="00DE4A18"/>
    <w:rsid w:val="00DF0FE5"/>
    <w:rsid w:val="00E12118"/>
    <w:rsid w:val="00E177B0"/>
    <w:rsid w:val="00E22135"/>
    <w:rsid w:val="00E24621"/>
    <w:rsid w:val="00E3040C"/>
    <w:rsid w:val="00E31824"/>
    <w:rsid w:val="00E42870"/>
    <w:rsid w:val="00E525B3"/>
    <w:rsid w:val="00E6614F"/>
    <w:rsid w:val="00E737AE"/>
    <w:rsid w:val="00E820C8"/>
    <w:rsid w:val="00E953CE"/>
    <w:rsid w:val="00EC2A38"/>
    <w:rsid w:val="00ED7332"/>
    <w:rsid w:val="00ED73A5"/>
    <w:rsid w:val="00F14821"/>
    <w:rsid w:val="00F36865"/>
    <w:rsid w:val="00F43314"/>
    <w:rsid w:val="00F45256"/>
    <w:rsid w:val="00F51847"/>
    <w:rsid w:val="00F53B51"/>
    <w:rsid w:val="00F54F60"/>
    <w:rsid w:val="00F61B1D"/>
    <w:rsid w:val="00F62829"/>
    <w:rsid w:val="00F66FEE"/>
    <w:rsid w:val="00F74974"/>
    <w:rsid w:val="00F7589F"/>
    <w:rsid w:val="00F8575B"/>
    <w:rsid w:val="00F9351A"/>
    <w:rsid w:val="00FC304E"/>
    <w:rsid w:val="00FC62AE"/>
    <w:rsid w:val="00FC66C2"/>
    <w:rsid w:val="00FC769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99C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rmalWeb">
    <w:name w:val="Normal (Web)"/>
    <w:basedOn w:val="Normal"/>
    <w:uiPriority w:val="99"/>
    <w:unhideWhenUsed/>
    <w:rsid w:val="0047146A"/>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aliases w:val="Párrafo de lista1,List Paragraph1,Colorful List - Accent 11,List Paragraph11,Lista vistosa - Énfasis 11,Parragrap,Superíndice,Dot pt,No Spacing1,List Paragraph Char Char Char,Indicator Text,Numbered Para 1,4 Párrafo de lista,Figuras,DH1"/>
    <w:basedOn w:val="Normal"/>
    <w:link w:val="ListParagraphChar"/>
    <w:uiPriority w:val="34"/>
    <w:qFormat/>
    <w:rsid w:val="00470C7B"/>
    <w:pPr>
      <w:ind w:left="720"/>
      <w:contextualSpacing/>
    </w:pPr>
    <w:rPr>
      <w:rFonts w:eastAsia="Times New Roman"/>
    </w:rPr>
  </w:style>
  <w:style w:type="character" w:styleId="Hyperlink">
    <w:name w:val="Hyperlink"/>
    <w:uiPriority w:val="99"/>
    <w:unhideWhenUsed/>
    <w:rsid w:val="00470C7B"/>
    <w:rPr>
      <w:color w:val="0000FF"/>
      <w:u w:val="single"/>
    </w:rPr>
  </w:style>
  <w:style w:type="character" w:customStyle="1" w:styleId="ListParagraphChar">
    <w:name w:val="List Paragraph Char"/>
    <w:aliases w:val="Párrafo de lista1 Char,List Paragraph1 Char,Colorful List - Accent 11 Char,List Paragraph11 Char,Lista vistosa - Énfasis 11 Char,Parragrap Char,Superíndice Char,Dot pt Char,No Spacing1 Char,List Paragraph Char Char Char Char,DH1 Char"/>
    <w:link w:val="ListParagraph"/>
    <w:uiPriority w:val="34"/>
    <w:locked/>
    <w:rsid w:val="00470C7B"/>
    <w:rPr>
      <w:rFonts w:eastAsia="Times New Roman"/>
      <w:sz w:val="22"/>
      <w:szCs w:val="22"/>
      <w:lang w:val="en-US" w:eastAsia="en-US"/>
    </w:rPr>
  </w:style>
  <w:style w:type="character" w:styleId="FootnoteReference">
    <w:name w:val="footnote reference"/>
    <w:aliases w:val="Ref,f1,4,norma"/>
    <w:link w:val="Appelnotedebasde"/>
    <w:uiPriority w:val="99"/>
    <w:unhideWhenUsed/>
    <w:qFormat/>
    <w:rsid w:val="00470C7B"/>
    <w:rPr>
      <w:vertAlign w:val="superscript"/>
    </w:rPr>
  </w:style>
  <w:style w:type="paragraph" w:customStyle="1" w:styleId="Appelnotedebasde">
    <w:name w:val="Appel note de bas de..."/>
    <w:basedOn w:val="Normal"/>
    <w:link w:val="FootnoteReference"/>
    <w:uiPriority w:val="99"/>
    <w:rsid w:val="00470C7B"/>
    <w:pPr>
      <w:spacing w:after="160" w:line="240" w:lineRule="exact"/>
    </w:pPr>
    <w:rPr>
      <w:sz w:val="20"/>
      <w:szCs w:val="20"/>
      <w:vertAlign w:val="superscript"/>
      <w:lang w:val="es-CO" w:eastAsia="es-MX"/>
    </w:rPr>
  </w:style>
  <w:style w:type="character" w:styleId="FollowedHyperlink">
    <w:name w:val="FollowedHyperlink"/>
    <w:basedOn w:val="DefaultParagraphFont"/>
    <w:uiPriority w:val="99"/>
    <w:semiHidden/>
    <w:unhideWhenUsed/>
    <w:rsid w:val="00385F0C"/>
    <w:rPr>
      <w:color w:val="954F72" w:themeColor="followedHyperlink"/>
      <w:u w:val="single"/>
    </w:rPr>
  </w:style>
  <w:style w:type="paragraph" w:styleId="FootnoteText">
    <w:name w:val="footnote text"/>
    <w:aliases w:val="Footnote Reference1,Footnotes refss,Texto de nota al pie,referencia nota al pie,BVI fnr,Appel note de bas de page,Footnote symbol,Footnote number,f,Ref. de nota al pie.,4_G,16 Point,Superscript 6 Point,Texto nota al pie,Ref. de nota al pi"/>
    <w:basedOn w:val="Normal"/>
    <w:link w:val="FootnoteTextChar"/>
    <w:uiPriority w:val="99"/>
    <w:unhideWhenUsed/>
    <w:qFormat/>
    <w:rsid w:val="00672090"/>
    <w:pPr>
      <w:spacing w:after="0" w:line="240" w:lineRule="auto"/>
    </w:pPr>
    <w:rPr>
      <w:rFonts w:ascii="Times New Roman" w:eastAsia="Times New Roman" w:hAnsi="Times New Roman"/>
      <w:sz w:val="20"/>
      <w:szCs w:val="20"/>
    </w:rPr>
  </w:style>
  <w:style w:type="character" w:customStyle="1" w:styleId="FootnoteTextChar">
    <w:name w:val="Footnote Text Char"/>
    <w:aliases w:val="Footnote Reference1 Char,Footnotes refss Char,Texto de nota al pie Char,referencia nota al pie Char,BVI fnr Char,Appel note de bas de page Char,Footnote symbol Char,Footnote number Char,f Char,Ref. de nota al pie. Char,4_G Char"/>
    <w:basedOn w:val="DefaultParagraphFont"/>
    <w:link w:val="FootnoteText"/>
    <w:uiPriority w:val="99"/>
    <w:rsid w:val="00672090"/>
    <w:rPr>
      <w:rFonts w:ascii="Times New Roman" w:eastAsia="Times New Roman" w:hAnsi="Times New Roman"/>
      <w:lang w:val="en-US" w:eastAsia="en-US"/>
    </w:rPr>
  </w:style>
  <w:style w:type="paragraph" w:styleId="NoSpacing">
    <w:name w:val="No Spacing"/>
    <w:uiPriority w:val="1"/>
    <w:qFormat/>
    <w:rsid w:val="008521E0"/>
    <w:rPr>
      <w:sz w:val="22"/>
      <w:szCs w:val="22"/>
      <w:lang w:val="en-US" w:eastAsia="en-US"/>
    </w:rPr>
  </w:style>
  <w:style w:type="paragraph" w:customStyle="1" w:styleId="Default">
    <w:name w:val="Default"/>
    <w:rsid w:val="008521E0"/>
    <w:pPr>
      <w:autoSpaceDE w:val="0"/>
      <w:autoSpaceDN w:val="0"/>
      <w:adjustRightInd w:val="0"/>
    </w:pPr>
    <w:rPr>
      <w:rFonts w:ascii="Cambria" w:hAnsi="Cambria" w:cs="Cambria"/>
      <w:color w:val="000000"/>
      <w:sz w:val="24"/>
      <w:szCs w:val="24"/>
      <w:lang w:val="en-US" w:eastAsia="en-US"/>
    </w:rPr>
  </w:style>
  <w:style w:type="paragraph" w:styleId="Revision">
    <w:name w:val="Revision"/>
    <w:hidden/>
    <w:uiPriority w:val="99"/>
    <w:semiHidden/>
    <w:rsid w:val="00B120EB"/>
    <w:rPr>
      <w:sz w:val="22"/>
      <w:szCs w:val="22"/>
      <w:lang w:val="en-US" w:eastAsia="en-US"/>
    </w:rPr>
  </w:style>
  <w:style w:type="character" w:styleId="UnresolvedMention">
    <w:name w:val="Unresolved Mention"/>
    <w:basedOn w:val="DefaultParagraphFont"/>
    <w:uiPriority w:val="99"/>
    <w:semiHidden/>
    <w:unhideWhenUsed/>
    <w:rsid w:val="00634F89"/>
    <w:rPr>
      <w:color w:val="605E5C"/>
      <w:shd w:val="clear" w:color="auto" w:fill="E1DFDD"/>
    </w:rPr>
  </w:style>
  <w:style w:type="numbering" w:customStyle="1" w:styleId="CurrentList1">
    <w:name w:val="Current List1"/>
    <w:uiPriority w:val="99"/>
    <w:rsid w:val="004C7C99"/>
    <w:pPr>
      <w:numPr>
        <w:numId w:val="39"/>
      </w:numPr>
    </w:pPr>
  </w:style>
  <w:style w:type="character" w:customStyle="1" w:styleId="normaltextrun">
    <w:name w:val="normaltextrun"/>
    <w:basedOn w:val="DefaultParagraphFont"/>
    <w:rsid w:val="00206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79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as.org/en/iachr/decisions/2019/ARAD1547-10EN.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oas.org/en/iachr/decisions/2022/ARSA_13.869_EN.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as.org/en/iachr/decisions/2022/ARSA_13.869_EN.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3" Type="http://schemas.openxmlformats.org/officeDocument/2006/relationships/hyperlink" Target="https://www.oas.org/en/iachr/docs/annual/2023/chapters/IA2023_Cap_2_ENG.PDF" TargetMode="External"/><Relationship Id="rId2" Type="http://schemas.openxmlformats.org/officeDocument/2006/relationships/hyperlink" Target="https://www.oas.org/en/iachr/decisions/2022/ARSA_13.869_EN.PDF" TargetMode="External"/><Relationship Id="rId1" Type="http://schemas.openxmlformats.org/officeDocument/2006/relationships/hyperlink" Target="https://www.oas.org/en/iachr/docs/annual/2023/chapters/IA2023_Cap_2_ENG.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8" ma:contentTypeDescription="Create a new document." ma:contentTypeScope="" ma:versionID="2f04fed201ecf924f5e5f0c570ae3e85">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2088b6f29b0ecff0e1f61368e818cef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90A2D28-5FAE-4C93-A166-435BBB1CA95B}">
  <ds:schemaRefs>
    <ds:schemaRef ds:uri="http://schemas.microsoft.com/sharepoint/v3/contenttype/forms"/>
  </ds:schemaRefs>
</ds:datastoreItem>
</file>

<file path=customXml/itemProps2.xml><?xml version="1.0" encoding="utf-8"?>
<ds:datastoreItem xmlns:ds="http://schemas.openxmlformats.org/officeDocument/2006/customXml" ds:itemID="{41F7FC34-EE51-41AF-8119-9FC4A47DC905}">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3.xml><?xml version="1.0" encoding="utf-8"?>
<ds:datastoreItem xmlns:ds="http://schemas.openxmlformats.org/officeDocument/2006/customXml" ds:itemID="{748CE3C7-B026-E241-B903-18C1190A9A5F}">
  <ds:schemaRefs>
    <ds:schemaRef ds:uri="http://schemas.openxmlformats.org/officeDocument/2006/bibliography"/>
  </ds:schemaRefs>
</ds:datastoreItem>
</file>

<file path=customXml/itemProps4.xml><?xml version="1.0" encoding="utf-8"?>
<ds:datastoreItem xmlns:ds="http://schemas.openxmlformats.org/officeDocument/2006/customXml" ds:itemID="{8EA1B072-EF83-488D-B1CB-567890A98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C534A0D-18CE-4362-9E26-A3C7BFDE772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691</Words>
  <Characters>3944</Characters>
  <Application>Microsoft Office Word</Application>
  <DocSecurity>0</DocSecurity>
  <Lines>32</Lines>
  <Paragraphs>9</Paragraphs>
  <ScaleCrop>false</ScaleCrop>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2024-05-02T14:06:00Z</dcterms:created>
  <dcterms:modified xsi:type="dcterms:W3CDTF">2024-05-02T14:06:00Z</dcterms:modified>
</cp:coreProperties>
</file>